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C53E5" w14:textId="7F86792D" w:rsidR="000B7E05" w:rsidRDefault="000B7E05" w:rsidP="000B7E05">
      <w:pPr>
        <w:rPr>
          <w:b/>
          <w:bCs/>
          <w:sz w:val="32"/>
          <w:szCs w:val="32"/>
          <w:lang w:val="en-US"/>
        </w:rPr>
      </w:pPr>
      <w:r w:rsidRPr="00B43A40">
        <w:rPr>
          <w:b/>
          <w:bCs/>
          <w:sz w:val="32"/>
          <w:szCs w:val="32"/>
          <w:lang w:val="en-US"/>
        </w:rPr>
        <w:t>SUPPLEMENTARY MATERIAL</w:t>
      </w:r>
      <w:r>
        <w:rPr>
          <w:b/>
          <w:bCs/>
          <w:sz w:val="32"/>
          <w:szCs w:val="32"/>
          <w:lang w:val="en-US"/>
        </w:rPr>
        <w:t>S</w:t>
      </w:r>
    </w:p>
    <w:p w14:paraId="004584E9" w14:textId="77777777" w:rsidR="000B7E05" w:rsidRPr="00D07DAF" w:rsidRDefault="000B7E05" w:rsidP="000B7E05">
      <w:pPr>
        <w:rPr>
          <w:sz w:val="23"/>
          <w:szCs w:val="23"/>
        </w:rPr>
      </w:pPr>
    </w:p>
    <w:p w14:paraId="06089E1D" w14:textId="77777777" w:rsidR="000B7E05" w:rsidRDefault="000B7E05" w:rsidP="000B7E05">
      <w:pPr>
        <w:spacing w:after="240"/>
        <w:rPr>
          <w:rFonts w:eastAsia="Times New Roman"/>
          <w:szCs w:val="28"/>
          <w:lang w:val="en-CA" w:eastAsia="fr-FR"/>
        </w:rPr>
      </w:pPr>
      <w:r>
        <w:rPr>
          <w:rFonts w:eastAsia="Times New Roman"/>
          <w:noProof/>
          <w:szCs w:val="28"/>
          <w:lang w:eastAsia="fr-FR"/>
        </w:rPr>
        <w:drawing>
          <wp:inline distT="0" distB="0" distL="0" distR="0" wp14:anchorId="55DCB007" wp14:editId="0E59E0E0">
            <wp:extent cx="4668137" cy="4464050"/>
            <wp:effectExtent l="0" t="0" r="0" b="0"/>
            <wp:docPr id="1890789683" name="Image 1890789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137" cy="446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A66C3F" w14:textId="77777777" w:rsidR="000B7E05" w:rsidRDefault="000B7E05" w:rsidP="000B7E05">
      <w:pPr>
        <w:spacing w:after="240"/>
        <w:rPr>
          <w:lang w:val="en-CA"/>
        </w:rPr>
      </w:pPr>
      <w:r w:rsidRPr="000928B8">
        <w:rPr>
          <w:rFonts w:eastAsia="Times New Roman"/>
          <w:b/>
          <w:szCs w:val="24"/>
          <w:lang w:val="en-CA" w:eastAsia="fr-FR"/>
        </w:rPr>
        <w:t xml:space="preserve">Figure </w:t>
      </w:r>
      <w:r>
        <w:rPr>
          <w:rFonts w:eastAsia="Times New Roman"/>
          <w:b/>
          <w:szCs w:val="24"/>
          <w:lang w:val="en-CA" w:eastAsia="fr-FR"/>
        </w:rPr>
        <w:t>S1</w:t>
      </w:r>
      <w:r w:rsidRPr="000928B8">
        <w:rPr>
          <w:rFonts w:eastAsia="Times New Roman"/>
          <w:b/>
          <w:szCs w:val="24"/>
          <w:lang w:val="en-CA" w:eastAsia="fr-FR"/>
        </w:rPr>
        <w:t>.</w:t>
      </w:r>
      <w:r>
        <w:rPr>
          <w:rFonts w:eastAsia="Times New Roman"/>
          <w:szCs w:val="24"/>
          <w:lang w:val="en-CA" w:eastAsia="fr-FR"/>
        </w:rPr>
        <w:t xml:space="preserve"> </w:t>
      </w:r>
      <w:r>
        <w:rPr>
          <w:lang w:val="en-CA"/>
        </w:rPr>
        <w:t xml:space="preserve">Dynamics of the relative abundance (%) of </w:t>
      </w:r>
      <w:proofErr w:type="spellStart"/>
      <w:r w:rsidRPr="00DC09FD">
        <w:rPr>
          <w:i/>
          <w:iCs/>
          <w:lang w:val="en-CA"/>
        </w:rPr>
        <w:t>mcyB</w:t>
      </w:r>
      <w:proofErr w:type="spellEnd"/>
      <w:r>
        <w:rPr>
          <w:lang w:val="en-CA"/>
        </w:rPr>
        <w:t xml:space="preserve"> gene over the total </w:t>
      </w:r>
      <w:r w:rsidRPr="00330A6C">
        <w:rPr>
          <w:i/>
          <w:lang w:val="en-CA"/>
        </w:rPr>
        <w:t>Microcystis</w:t>
      </w:r>
      <w:r>
        <w:rPr>
          <w:lang w:val="en-CA"/>
        </w:rPr>
        <w:t xml:space="preserve"> population (</w:t>
      </w:r>
      <w:r w:rsidRPr="00330A6C">
        <w:rPr>
          <w:i/>
          <w:lang w:val="en-CA"/>
        </w:rPr>
        <w:t xml:space="preserve">PC </w:t>
      </w:r>
      <w:r>
        <w:rPr>
          <w:lang w:val="en-CA"/>
        </w:rPr>
        <w:t>gene) as a function of salinity in both Nutrient+ and Nutrient– conditions.</w:t>
      </w:r>
    </w:p>
    <w:p w14:paraId="72936717" w14:textId="77777777" w:rsidR="000B7E05" w:rsidRDefault="000B7E05" w:rsidP="000B7E05">
      <w:pPr>
        <w:spacing w:after="240"/>
        <w:rPr>
          <w:lang w:val="en-CA"/>
        </w:rPr>
        <w:sectPr w:rsidR="000B7E05" w:rsidSect="000B7E0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val="en-CA"/>
        </w:rPr>
        <w:br w:type="page"/>
      </w:r>
    </w:p>
    <w:p w14:paraId="1BE6CBD7" w14:textId="77777777" w:rsidR="000B7E05" w:rsidRDefault="000B7E05" w:rsidP="000B7E05">
      <w:pPr>
        <w:spacing w:after="240"/>
        <w:rPr>
          <w:lang w:val="en-CA"/>
        </w:rPr>
      </w:pPr>
    </w:p>
    <w:p w14:paraId="0026B753" w14:textId="77777777" w:rsidR="000B7E05" w:rsidRPr="008C338B" w:rsidRDefault="000B7E05" w:rsidP="000B7E05">
      <w:pPr>
        <w:spacing w:after="0"/>
        <w:rPr>
          <w:rFonts w:eastAsia="Times New Roman"/>
          <w:b/>
          <w:szCs w:val="24"/>
          <w:lang w:eastAsia="fr-FR"/>
        </w:rPr>
      </w:pPr>
      <w:r w:rsidRPr="000C1B83">
        <w:rPr>
          <w:noProof/>
          <w:lang w:eastAsia="fr-FR"/>
          <w14:ligatures w14:val="standardContextual"/>
        </w:rPr>
        <w:drawing>
          <wp:inline distT="0" distB="0" distL="0" distR="0" wp14:anchorId="2914AD2B" wp14:editId="19442284">
            <wp:extent cx="8892540" cy="4107180"/>
            <wp:effectExtent l="0" t="0" r="0" b="0"/>
            <wp:docPr id="122352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2137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10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391D0" w14:textId="77777777" w:rsidR="000B7E05" w:rsidRPr="00D9719D" w:rsidRDefault="000B7E05" w:rsidP="000B7E05">
      <w:pPr>
        <w:spacing w:before="100" w:beforeAutospacing="1" w:after="100" w:afterAutospacing="1"/>
        <w:rPr>
          <w:rFonts w:eastAsia="Times New Roman"/>
          <w:szCs w:val="28"/>
          <w:lang w:val="en-CA" w:eastAsia="fr-FR"/>
        </w:rPr>
        <w:sectPr w:rsidR="000B7E05" w:rsidRPr="00D9719D" w:rsidSect="00D07DA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0928B8">
        <w:rPr>
          <w:rFonts w:eastAsia="Times New Roman"/>
          <w:b/>
          <w:szCs w:val="24"/>
          <w:lang w:val="en-CA" w:eastAsia="fr-FR"/>
        </w:rPr>
        <w:t xml:space="preserve">Figure </w:t>
      </w:r>
      <w:r>
        <w:rPr>
          <w:rFonts w:eastAsia="Times New Roman"/>
          <w:b/>
          <w:szCs w:val="24"/>
          <w:lang w:val="en-CA" w:eastAsia="fr-FR"/>
        </w:rPr>
        <w:t>S2</w:t>
      </w:r>
      <w:r w:rsidRPr="000928B8">
        <w:rPr>
          <w:rFonts w:eastAsia="Times New Roman"/>
          <w:b/>
          <w:szCs w:val="24"/>
          <w:lang w:val="en-CA" w:eastAsia="fr-FR"/>
        </w:rPr>
        <w:t>.</w:t>
      </w:r>
      <w:r>
        <w:rPr>
          <w:rFonts w:eastAsia="Times New Roman"/>
          <w:szCs w:val="24"/>
          <w:lang w:val="en-CA" w:eastAsia="fr-FR"/>
        </w:rPr>
        <w:t xml:space="preserve"> </w:t>
      </w:r>
      <w:r w:rsidRPr="00D9719D">
        <w:rPr>
          <w:rFonts w:eastAsia="Times New Roman"/>
          <w:szCs w:val="24"/>
          <w:lang w:val="en-CA" w:eastAsia="fr-FR"/>
        </w:rPr>
        <w:t>Dynamic</w:t>
      </w:r>
      <w:r>
        <w:rPr>
          <w:rFonts w:eastAsia="Times New Roman"/>
          <w:szCs w:val="24"/>
          <w:lang w:val="en-CA" w:eastAsia="fr-FR"/>
        </w:rPr>
        <w:t>s</w:t>
      </w:r>
      <w:r w:rsidRPr="00D9719D">
        <w:rPr>
          <w:rFonts w:eastAsia="Times New Roman"/>
          <w:szCs w:val="24"/>
          <w:lang w:val="en-CA" w:eastAsia="fr-FR"/>
        </w:rPr>
        <w:t xml:space="preserve"> of </w:t>
      </w:r>
      <w:r>
        <w:rPr>
          <w:rFonts w:eastAsia="Times New Roman"/>
          <w:szCs w:val="24"/>
          <w:lang w:val="en-CA" w:eastAsia="fr-FR"/>
        </w:rPr>
        <w:t xml:space="preserve">intracellular and extracellular </w:t>
      </w:r>
      <w:proofErr w:type="spellStart"/>
      <w:r w:rsidRPr="00D9719D">
        <w:rPr>
          <w:rFonts w:eastAsia="Times New Roman"/>
          <w:szCs w:val="24"/>
          <w:lang w:val="en-CA" w:eastAsia="fr-FR"/>
        </w:rPr>
        <w:t>microcystins</w:t>
      </w:r>
      <w:proofErr w:type="spellEnd"/>
      <w:r w:rsidRPr="00D9719D">
        <w:rPr>
          <w:rFonts w:eastAsia="Times New Roman"/>
          <w:szCs w:val="24"/>
          <w:lang w:val="en-CA" w:eastAsia="fr-FR"/>
        </w:rPr>
        <w:t xml:space="preserve"> </w:t>
      </w:r>
      <w:r>
        <w:rPr>
          <w:rFonts w:eastAsia="Times New Roman"/>
          <w:szCs w:val="24"/>
          <w:lang w:val="en-CA" w:eastAsia="fr-FR"/>
        </w:rPr>
        <w:t>concentrations (</w:t>
      </w:r>
      <w:r>
        <w:rPr>
          <w:rFonts w:ascii="Symbol" w:eastAsia="Times New Roman" w:hAnsi="Symbol"/>
          <w:szCs w:val="24"/>
          <w:lang w:val="en-CA" w:eastAsia="fr-FR"/>
        </w:rPr>
        <w:t></w:t>
      </w:r>
      <w:r>
        <w:rPr>
          <w:rFonts w:eastAsia="Times New Roman"/>
          <w:szCs w:val="24"/>
          <w:lang w:val="en-CA" w:eastAsia="fr-FR"/>
        </w:rPr>
        <w:t>g L</w:t>
      </w:r>
      <w:r>
        <w:rPr>
          <w:rFonts w:eastAsia="Times New Roman"/>
          <w:szCs w:val="24"/>
          <w:vertAlign w:val="superscript"/>
          <w:lang w:val="en-CA" w:eastAsia="fr-FR"/>
        </w:rPr>
        <w:t>-1</w:t>
      </w:r>
      <w:r>
        <w:rPr>
          <w:rFonts w:eastAsia="Times New Roman"/>
          <w:szCs w:val="24"/>
          <w:lang w:val="en-CA" w:eastAsia="fr-FR"/>
        </w:rPr>
        <w:t>) together with the evolution of the different variants (%) as a function of salinity for both Nutrient+ and Nutrient– conditions.</w:t>
      </w:r>
    </w:p>
    <w:p w14:paraId="690DCE46" w14:textId="77777777" w:rsidR="000B7E05" w:rsidRDefault="000B7E05" w:rsidP="000B7E05">
      <w:pPr>
        <w:spacing w:after="0"/>
        <w:outlineLvl w:val="0"/>
        <w:rPr>
          <w:rFonts w:eastAsia="Times New Roman"/>
          <w:szCs w:val="24"/>
          <w:lang w:val="en-CA" w:eastAsia="fr-FR"/>
        </w:rPr>
      </w:pPr>
      <w:r w:rsidRPr="004F4074">
        <w:rPr>
          <w:rFonts w:eastAsia="Times New Roman"/>
          <w:noProof/>
          <w:szCs w:val="24"/>
          <w:lang w:eastAsia="fr-FR"/>
        </w:rPr>
        <w:lastRenderedPageBreak/>
        <w:drawing>
          <wp:inline distT="0" distB="0" distL="0" distR="0" wp14:anchorId="65ECD7E6" wp14:editId="4A238A5D">
            <wp:extent cx="6584592" cy="3225521"/>
            <wp:effectExtent l="0" t="0" r="0" b="635"/>
            <wp:docPr id="6533385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99357" cy="323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F495E" w14:textId="77777777" w:rsidR="000B7E05" w:rsidRDefault="000B7E05" w:rsidP="000B7E05">
      <w:pPr>
        <w:spacing w:after="0"/>
        <w:outlineLvl w:val="0"/>
        <w:rPr>
          <w:rFonts w:eastAsia="Times New Roman"/>
          <w:b/>
          <w:szCs w:val="24"/>
          <w:lang w:val="en-CA" w:eastAsia="fr-FR"/>
        </w:rPr>
      </w:pPr>
    </w:p>
    <w:p w14:paraId="4C9E713E" w14:textId="77777777" w:rsidR="000B7E05" w:rsidRDefault="000B7E05" w:rsidP="000B7E05">
      <w:pPr>
        <w:spacing w:after="0"/>
        <w:outlineLvl w:val="0"/>
        <w:rPr>
          <w:rFonts w:eastAsia="Times New Roman"/>
          <w:b/>
          <w:szCs w:val="24"/>
          <w:lang w:val="en-CA" w:eastAsia="fr-FR"/>
        </w:rPr>
      </w:pPr>
    </w:p>
    <w:p w14:paraId="756B260C" w14:textId="77777777" w:rsidR="000B7E05" w:rsidRDefault="000B7E05" w:rsidP="000B7E05">
      <w:pPr>
        <w:spacing w:after="0"/>
        <w:outlineLvl w:val="0"/>
        <w:rPr>
          <w:rFonts w:eastAsia="Times New Roman"/>
          <w:szCs w:val="24"/>
          <w:lang w:val="en-CA" w:eastAsia="fr-FR"/>
        </w:rPr>
      </w:pPr>
      <w:r w:rsidRPr="000928B8">
        <w:rPr>
          <w:rFonts w:eastAsia="Times New Roman"/>
          <w:b/>
          <w:szCs w:val="24"/>
          <w:lang w:val="en-CA" w:eastAsia="fr-FR"/>
        </w:rPr>
        <w:t xml:space="preserve">Figure </w:t>
      </w:r>
      <w:r>
        <w:rPr>
          <w:rFonts w:eastAsia="Times New Roman"/>
          <w:b/>
          <w:szCs w:val="24"/>
          <w:lang w:val="en-CA" w:eastAsia="fr-FR"/>
        </w:rPr>
        <w:t>S3</w:t>
      </w:r>
      <w:r w:rsidRPr="000928B8">
        <w:rPr>
          <w:rFonts w:eastAsia="Times New Roman"/>
          <w:b/>
          <w:szCs w:val="24"/>
          <w:lang w:val="en-CA" w:eastAsia="fr-FR"/>
        </w:rPr>
        <w:t>.</w:t>
      </w:r>
      <w:r>
        <w:rPr>
          <w:rFonts w:eastAsia="Times New Roman"/>
          <w:szCs w:val="24"/>
          <w:lang w:val="en-CA" w:eastAsia="fr-FR"/>
        </w:rPr>
        <w:t xml:space="preserve"> Dynamics of relative abundances of cyanobacterial sequences at the family levels in the free-living (FREE) and attached (ATTACHED) fractions as a function of salinity under Nutrient+ (top panel) and Nutrient- (bottom panel) conditions. </w:t>
      </w:r>
    </w:p>
    <w:p w14:paraId="2A9F81FD" w14:textId="77777777" w:rsidR="000B7E05" w:rsidRDefault="000B7E05" w:rsidP="000B7E05">
      <w:pPr>
        <w:spacing w:after="0"/>
        <w:outlineLvl w:val="0"/>
        <w:rPr>
          <w:rFonts w:eastAsia="Times New Roman"/>
          <w:szCs w:val="24"/>
          <w:lang w:val="en-CA" w:eastAsia="fr-FR"/>
        </w:rPr>
      </w:pPr>
    </w:p>
    <w:p w14:paraId="444A827A" w14:textId="77777777" w:rsidR="000B7E05" w:rsidRPr="00E2156E" w:rsidRDefault="000B7E05" w:rsidP="000B7E05">
      <w:pPr>
        <w:spacing w:after="0"/>
        <w:outlineLvl w:val="0"/>
        <w:rPr>
          <w:rFonts w:eastAsia="Times New Roman"/>
          <w:color w:val="000000" w:themeColor="text1"/>
          <w:szCs w:val="24"/>
          <w:lang w:val="en-CA" w:eastAsia="fr-FR"/>
        </w:rPr>
        <w:sectPr w:rsidR="000B7E05" w:rsidRPr="00E2156E" w:rsidSect="00D07DA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97C6BAB" w14:textId="77777777" w:rsidR="000B7E05" w:rsidRDefault="000B7E05" w:rsidP="000B7E05">
      <w:pPr>
        <w:spacing w:after="0"/>
        <w:outlineLvl w:val="0"/>
        <w:rPr>
          <w:rFonts w:eastAsia="Times New Roman"/>
          <w:color w:val="000000" w:themeColor="text1"/>
          <w:szCs w:val="28"/>
          <w:lang w:val="en-CA" w:eastAsia="fr-FR"/>
        </w:rPr>
      </w:pPr>
      <w:r>
        <w:rPr>
          <w:rFonts w:eastAsia="Times New Roman"/>
          <w:noProof/>
          <w:color w:val="000000" w:themeColor="text1"/>
          <w:szCs w:val="28"/>
          <w:lang w:eastAsia="fr-FR"/>
        </w:rPr>
        <w:lastRenderedPageBreak/>
        <w:drawing>
          <wp:inline distT="0" distB="0" distL="0" distR="0" wp14:anchorId="507FFCA2" wp14:editId="590BAD70">
            <wp:extent cx="6099281" cy="3396343"/>
            <wp:effectExtent l="0" t="0" r="0" b="0"/>
            <wp:docPr id="1805753081" name="Image 1805753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896" cy="3436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B67CC" w14:textId="77777777" w:rsidR="000B7E05" w:rsidRDefault="000B7E05" w:rsidP="000B7E05">
      <w:pPr>
        <w:rPr>
          <w:rFonts w:eastAsia="Times New Roman"/>
          <w:b/>
          <w:szCs w:val="24"/>
          <w:lang w:val="en-CA" w:eastAsia="fr-FR"/>
        </w:rPr>
      </w:pPr>
    </w:p>
    <w:p w14:paraId="4309CD82" w14:textId="4B73FA9B" w:rsidR="000B7E05" w:rsidRDefault="000B7E05" w:rsidP="000B7E05">
      <w:pPr>
        <w:rPr>
          <w:rFonts w:eastAsia="Times New Roman"/>
          <w:szCs w:val="24"/>
          <w:lang w:val="en-CA" w:eastAsia="fr-FR"/>
        </w:rPr>
      </w:pPr>
      <w:r w:rsidRPr="000928B8">
        <w:rPr>
          <w:rFonts w:eastAsia="Times New Roman"/>
          <w:b/>
          <w:szCs w:val="24"/>
          <w:lang w:val="en-CA" w:eastAsia="fr-FR"/>
        </w:rPr>
        <w:t xml:space="preserve">Figure </w:t>
      </w:r>
      <w:r>
        <w:rPr>
          <w:rFonts w:eastAsia="Times New Roman"/>
          <w:b/>
          <w:szCs w:val="24"/>
          <w:lang w:val="en-CA" w:eastAsia="fr-FR"/>
        </w:rPr>
        <w:t>S4.</w:t>
      </w:r>
      <w:r>
        <w:rPr>
          <w:rFonts w:eastAsia="Times New Roman"/>
          <w:szCs w:val="24"/>
          <w:lang w:val="en-CA" w:eastAsia="fr-FR"/>
        </w:rPr>
        <w:t xml:space="preserve"> </w:t>
      </w:r>
      <w:r w:rsidRPr="00D9719D">
        <w:rPr>
          <w:rFonts w:eastAsia="Times New Roman"/>
          <w:szCs w:val="24"/>
          <w:lang w:val="en-CA" w:eastAsia="fr-FR"/>
        </w:rPr>
        <w:t xml:space="preserve">Alpha diversity box-plot displaying the number of ASVs observed, Chao1, Shannon and </w:t>
      </w:r>
      <w:proofErr w:type="spellStart"/>
      <w:r w:rsidRPr="00D9719D">
        <w:rPr>
          <w:rFonts w:eastAsia="Times New Roman"/>
          <w:szCs w:val="24"/>
          <w:lang w:val="en-CA" w:eastAsia="fr-FR"/>
        </w:rPr>
        <w:t>Pielou</w:t>
      </w:r>
      <w:proofErr w:type="spellEnd"/>
      <w:r w:rsidRPr="00D9719D">
        <w:rPr>
          <w:rFonts w:eastAsia="Times New Roman"/>
          <w:szCs w:val="24"/>
          <w:lang w:val="en-CA" w:eastAsia="fr-FR"/>
        </w:rPr>
        <w:t xml:space="preserve"> diversity indices for the free-living (in blue) and attached (in green) heterotrophic bacterial communities </w:t>
      </w:r>
      <w:r>
        <w:rPr>
          <w:rFonts w:eastAsia="Times New Roman"/>
          <w:szCs w:val="24"/>
          <w:lang w:val="en-CA" w:eastAsia="fr-FR"/>
        </w:rPr>
        <w:t>as a function of salinity for the Nutrient+ (</w:t>
      </w:r>
      <w:r w:rsidRPr="00330A6C">
        <w:rPr>
          <w:rFonts w:eastAsia="Times New Roman"/>
          <w:b/>
          <w:szCs w:val="24"/>
          <w:lang w:val="en-CA" w:eastAsia="fr-FR"/>
        </w:rPr>
        <w:t>A</w:t>
      </w:r>
      <w:r>
        <w:rPr>
          <w:rFonts w:eastAsia="Times New Roman"/>
          <w:szCs w:val="24"/>
          <w:lang w:val="en-CA" w:eastAsia="fr-FR"/>
        </w:rPr>
        <w:t>) and Nutrient- (</w:t>
      </w:r>
      <w:r w:rsidRPr="00330A6C">
        <w:rPr>
          <w:rFonts w:eastAsia="Times New Roman"/>
          <w:b/>
          <w:szCs w:val="24"/>
          <w:lang w:val="en-CA" w:eastAsia="fr-FR"/>
        </w:rPr>
        <w:t>B</w:t>
      </w:r>
      <w:r>
        <w:rPr>
          <w:rFonts w:eastAsia="Times New Roman"/>
          <w:szCs w:val="24"/>
          <w:lang w:val="en-CA" w:eastAsia="fr-FR"/>
        </w:rPr>
        <w:t>) conditions.</w:t>
      </w:r>
      <w:r w:rsidRPr="00D9719D">
        <w:rPr>
          <w:rFonts w:eastAsia="Times New Roman"/>
          <w:szCs w:val="24"/>
          <w:lang w:val="en-CA" w:eastAsia="fr-FR"/>
        </w:rPr>
        <w:t xml:space="preserve"> Solid lines and asterisks indicate a significant difference</w:t>
      </w:r>
      <w:r>
        <w:rPr>
          <w:rFonts w:eastAsia="Times New Roman"/>
          <w:szCs w:val="24"/>
          <w:lang w:val="en-CA" w:eastAsia="fr-FR"/>
        </w:rPr>
        <w:t xml:space="preserve">. </w:t>
      </w:r>
      <w:r w:rsidRPr="00D9719D">
        <w:rPr>
          <w:rFonts w:eastAsia="Times New Roman"/>
          <w:szCs w:val="24"/>
          <w:lang w:val="en-CA" w:eastAsia="fr-FR"/>
        </w:rPr>
        <w:t xml:space="preserve">P-values were calculated to compare alpha diversities based on a two-sample t-test using a non-parametric method with </w:t>
      </w:r>
      <w:r w:rsidR="009250AE">
        <w:rPr>
          <w:rFonts w:eastAsia="Times New Roman"/>
          <w:szCs w:val="24"/>
          <w:lang w:val="en-CA" w:eastAsia="fr-FR"/>
        </w:rPr>
        <w:t>the </w:t>
      </w:r>
      <w:r w:rsidRPr="00D9719D">
        <w:rPr>
          <w:rFonts w:eastAsia="Times New Roman"/>
          <w:szCs w:val="24"/>
          <w:lang w:val="en-CA" w:eastAsia="fr-FR"/>
        </w:rPr>
        <w:t>Benjamini-Hochberg correction method.</w:t>
      </w:r>
    </w:p>
    <w:p w14:paraId="6A1DCA3E" w14:textId="77777777" w:rsidR="000B7E05" w:rsidRDefault="000B7E05" w:rsidP="000B7E05">
      <w:pPr>
        <w:rPr>
          <w:rFonts w:eastAsia="Times New Roman"/>
          <w:szCs w:val="24"/>
          <w:lang w:val="en-CA" w:eastAsia="fr-FR"/>
        </w:rPr>
      </w:pPr>
    </w:p>
    <w:p w14:paraId="13E49A72" w14:textId="77777777" w:rsidR="000B7E05" w:rsidRDefault="000B7E05" w:rsidP="000B7E05">
      <w:pPr>
        <w:rPr>
          <w:rFonts w:eastAsia="Times New Roman"/>
          <w:szCs w:val="24"/>
          <w:lang w:val="en-CA" w:eastAsia="fr-FR"/>
        </w:rPr>
      </w:pPr>
    </w:p>
    <w:p w14:paraId="4405CCCC" w14:textId="77777777" w:rsidR="000B7E05" w:rsidRDefault="000B7E05" w:rsidP="000B7E05">
      <w:pPr>
        <w:rPr>
          <w:rFonts w:eastAsia="Times New Roman"/>
          <w:szCs w:val="24"/>
          <w:lang w:val="en-CA" w:eastAsia="fr-FR"/>
        </w:rPr>
      </w:pPr>
    </w:p>
    <w:p w14:paraId="2D8E8F98" w14:textId="77777777" w:rsidR="000B7E05" w:rsidRDefault="000B7E05" w:rsidP="000B7E05">
      <w:pPr>
        <w:rPr>
          <w:rFonts w:eastAsia="Times New Roman"/>
          <w:szCs w:val="24"/>
          <w:lang w:val="en-CA" w:eastAsia="fr-FR"/>
        </w:rPr>
      </w:pPr>
    </w:p>
    <w:p w14:paraId="512779C2" w14:textId="77777777" w:rsidR="000B7E05" w:rsidRPr="00A2667F" w:rsidRDefault="000B7E05" w:rsidP="000B7E05">
      <w:pPr>
        <w:rPr>
          <w:sz w:val="23"/>
          <w:szCs w:val="23"/>
          <w:lang w:val="en-US"/>
          <w14:ligatures w14:val="standardContextual"/>
        </w:rPr>
      </w:pPr>
    </w:p>
    <w:p w14:paraId="7276E283" w14:textId="77777777" w:rsidR="000B7E05" w:rsidRPr="000B7E05" w:rsidRDefault="000B7E05">
      <w:pPr>
        <w:rPr>
          <w:lang w:val="en-US"/>
        </w:rPr>
      </w:pPr>
    </w:p>
    <w:sectPr w:rsidR="000B7E05" w:rsidRPr="000B7E05" w:rsidSect="00F81782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AEABA" w14:textId="77777777" w:rsidR="009250AE" w:rsidRDefault="009250AE">
      <w:pPr>
        <w:spacing w:after="0" w:line="240" w:lineRule="auto"/>
      </w:pPr>
      <w:r>
        <w:separator/>
      </w:r>
    </w:p>
  </w:endnote>
  <w:endnote w:type="continuationSeparator" w:id="0">
    <w:p w14:paraId="44CFB0A9" w14:textId="77777777" w:rsidR="009250AE" w:rsidRDefault="00925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CF3C0" w14:textId="77777777" w:rsidR="009250AE" w:rsidRDefault="009250AE">
      <w:pPr>
        <w:spacing w:after="0" w:line="240" w:lineRule="auto"/>
      </w:pPr>
      <w:r>
        <w:separator/>
      </w:r>
    </w:p>
  </w:footnote>
  <w:footnote w:type="continuationSeparator" w:id="0">
    <w:p w14:paraId="4E3FEC0A" w14:textId="77777777" w:rsidR="009250AE" w:rsidRDefault="00925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05"/>
    <w:rsid w:val="000B7E05"/>
    <w:rsid w:val="001601C6"/>
    <w:rsid w:val="00177A59"/>
    <w:rsid w:val="003D7496"/>
    <w:rsid w:val="00441DBB"/>
    <w:rsid w:val="004E41A1"/>
    <w:rsid w:val="00704CD1"/>
    <w:rsid w:val="0092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B49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E05"/>
    <w:pPr>
      <w:spacing w:after="160" w:line="480" w:lineRule="auto"/>
      <w:jc w:val="both"/>
    </w:pPr>
    <w:rPr>
      <w:rFonts w:ascii="Times New Roman" w:hAnsi="Times New Roman" w:cs="Times New Roman"/>
      <w:kern w:val="0"/>
      <w:szCs w:val="22"/>
      <w:lang w:val="fr-F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B7E05"/>
    <w:pPr>
      <w:spacing w:after="0" w:line="240" w:lineRule="auto"/>
      <w:contextualSpacing/>
      <w:jc w:val="center"/>
    </w:pPr>
    <w:rPr>
      <w:rFonts w:eastAsiaTheme="majorEastAsia" w:cstheme="majorBidi"/>
      <w:b/>
      <w:color w:val="2DA800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E05"/>
    <w:rPr>
      <w:rFonts w:ascii="Times New Roman" w:eastAsiaTheme="majorEastAsia" w:hAnsi="Times New Roman" w:cstheme="majorBidi"/>
      <w:b/>
      <w:color w:val="2DA800"/>
      <w:spacing w:val="-10"/>
      <w:kern w:val="28"/>
      <w:sz w:val="60"/>
      <w:szCs w:val="56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E05"/>
    <w:rPr>
      <w:rFonts w:ascii="Times New Roman" w:hAnsi="Times New Roman" w:cs="Times New Roman"/>
      <w:kern w:val="0"/>
      <w:szCs w:val="22"/>
      <w:lang w:val="fr-FR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0B7E05"/>
  </w:style>
  <w:style w:type="paragraph" w:styleId="Header">
    <w:name w:val="header"/>
    <w:basedOn w:val="Normal"/>
    <w:link w:val="HeaderChar"/>
    <w:uiPriority w:val="99"/>
    <w:unhideWhenUsed/>
    <w:rsid w:val="00160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1C6"/>
    <w:rPr>
      <w:rFonts w:ascii="Times New Roman" w:hAnsi="Times New Roman" w:cs="Times New Roman"/>
      <w:kern w:val="0"/>
      <w:szCs w:val="22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</Words>
  <Characters>1038</Characters>
  <Application>Microsoft Office Word</Application>
  <DocSecurity>0</DocSecurity>
  <Lines>34</Lines>
  <Paragraphs>5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2024-10-07T20:49:00Z</dcterms:created>
  <dcterms:modified xsi:type="dcterms:W3CDTF">2024-10-07T20:49:00Z</dcterms:modified>
</cp:coreProperties>
</file>