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1D" w:rsidRPr="00640D1D" w:rsidRDefault="00640D1D" w:rsidP="00640D1D">
      <w:pPr>
        <w:autoSpaceDE w:val="0"/>
        <w:autoSpaceDN w:val="0"/>
        <w:adjustRightInd w:val="0"/>
        <w:spacing w:after="0" w:line="240" w:lineRule="auto"/>
        <w:rPr>
          <w:rFonts w:ascii="AdvP4C4E74" w:hAnsi="AdvP4C4E74" w:cs="AdvP4C4E74"/>
          <w:color w:val="241F20"/>
          <w:sz w:val="12"/>
          <w:szCs w:val="12"/>
          <w:lang w:val="en-US"/>
        </w:rPr>
      </w:pPr>
    </w:p>
    <w:p w:rsidR="000F318F" w:rsidRDefault="000F318F" w:rsidP="000F318F">
      <w:pPr>
        <w:ind w:firstLine="708"/>
        <w:rPr>
          <w:lang w:val="en-US"/>
        </w:rPr>
      </w:pPr>
    </w:p>
    <w:p w:rsidR="00676702" w:rsidRPr="00AD07C5" w:rsidRDefault="00640D1D" w:rsidP="000F318F">
      <w:pPr>
        <w:ind w:firstLine="708"/>
        <w:rPr>
          <w:b/>
          <w:lang w:val="en-US"/>
        </w:rPr>
      </w:pPr>
      <w:r w:rsidRPr="00AD07C5">
        <w:rPr>
          <w:b/>
          <w:lang w:val="en-US"/>
        </w:rPr>
        <w:t>Table</w:t>
      </w:r>
      <w:r w:rsidR="00EE2FBE" w:rsidRPr="00AD07C5">
        <w:rPr>
          <w:b/>
          <w:lang w:val="en-US"/>
        </w:rPr>
        <w:t xml:space="preserve"> </w:t>
      </w:r>
      <w:r w:rsidR="00293FD8" w:rsidRPr="00AD07C5">
        <w:rPr>
          <w:b/>
          <w:lang w:val="en-US"/>
        </w:rPr>
        <w:t>I</w:t>
      </w:r>
      <w:r w:rsidRPr="00AD07C5">
        <w:rPr>
          <w:b/>
          <w:lang w:val="en-US"/>
        </w:rPr>
        <w:t>: PCR primers used in this study</w:t>
      </w:r>
    </w:p>
    <w:tbl>
      <w:tblPr>
        <w:tblStyle w:val="Grilledutableau"/>
        <w:tblpPr w:leftFromText="141" w:rightFromText="141" w:vertAnchor="page" w:horzAnchor="margin" w:tblpXSpec="center" w:tblpY="2086"/>
        <w:tblW w:w="0" w:type="auto"/>
        <w:tblLook w:val="04A0" w:firstRow="1" w:lastRow="0" w:firstColumn="1" w:lastColumn="0" w:noHBand="0" w:noVBand="1"/>
      </w:tblPr>
      <w:tblGrid>
        <w:gridCol w:w="1344"/>
        <w:gridCol w:w="4531"/>
      </w:tblGrid>
      <w:tr w:rsidR="000F318F" w:rsidRPr="00640D1D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Exon</w:t>
            </w:r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 xml:space="preserve">Primer </w:t>
            </w:r>
            <w:proofErr w:type="spellStart"/>
            <w:r w:rsidRPr="00640D1D">
              <w:rPr>
                <w:sz w:val="20"/>
                <w:szCs w:val="20"/>
              </w:rPr>
              <w:t>sequence</w:t>
            </w:r>
            <w:proofErr w:type="spellEnd"/>
          </w:p>
        </w:tc>
      </w:tr>
      <w:tr w:rsidR="000F318F" w:rsidRPr="00640D1D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 xml:space="preserve">1A: </w:t>
            </w:r>
            <w:proofErr w:type="spellStart"/>
            <w:r w:rsidRPr="00640D1D">
              <w:rPr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 w:rsidRPr="00640D1D">
              <w:rPr>
                <w:sz w:val="20"/>
                <w:szCs w:val="20"/>
              </w:rPr>
              <w:t>-CGC-GAA-GAC-TAC-GGA-GGT-3</w:t>
            </w:r>
            <w:r>
              <w:rPr>
                <w:sz w:val="20"/>
                <w:szCs w:val="20"/>
              </w:rPr>
              <w:t>’</w:t>
            </w:r>
          </w:p>
        </w:tc>
      </w:tr>
      <w:tr w:rsidR="000F318F" w:rsidRPr="00E126DA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1A: Reverse</w:t>
            </w:r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  <w:lang w:val="en-US"/>
              </w:rPr>
            </w:pPr>
            <w:r w:rsidRPr="00640D1D">
              <w:rPr>
                <w:sz w:val="20"/>
                <w:szCs w:val="20"/>
                <w:lang w:val="en-US"/>
              </w:rPr>
              <w:t>5’-GGA-CTG-CGA-TTG-CAG-AAG-AT-3’</w:t>
            </w:r>
          </w:p>
        </w:tc>
      </w:tr>
      <w:tr w:rsidR="000F318F" w:rsidRPr="00640D1D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 xml:space="preserve">1B: </w:t>
            </w:r>
            <w:proofErr w:type="spellStart"/>
            <w:r w:rsidRPr="00640D1D">
              <w:rPr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 w:rsidRPr="00640D1D">
              <w:rPr>
                <w:sz w:val="20"/>
                <w:szCs w:val="20"/>
              </w:rPr>
              <w:t>-GAG-TAC-GGC-CCT-GAA-GAA-GA-3</w:t>
            </w:r>
            <w:r>
              <w:rPr>
                <w:sz w:val="20"/>
                <w:szCs w:val="20"/>
              </w:rPr>
              <w:t>’</w:t>
            </w:r>
          </w:p>
        </w:tc>
      </w:tr>
      <w:tr w:rsidR="000F318F" w:rsidRPr="00640D1D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1B: Reverse</w:t>
            </w:r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 w:rsidRPr="00640D1D">
              <w:rPr>
                <w:sz w:val="20"/>
                <w:szCs w:val="20"/>
              </w:rPr>
              <w:t>-GCT-TCA-GAC-CGT-GCT-ATC-GT-3</w:t>
            </w:r>
            <w:r>
              <w:rPr>
                <w:sz w:val="20"/>
                <w:szCs w:val="20"/>
              </w:rPr>
              <w:t>’</w:t>
            </w:r>
          </w:p>
        </w:tc>
      </w:tr>
      <w:tr w:rsidR="000F318F" w:rsidRPr="00640D1D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 xml:space="preserve">2: </w:t>
            </w:r>
            <w:proofErr w:type="spellStart"/>
            <w:r w:rsidRPr="00640D1D">
              <w:rPr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 w:rsidRPr="00640D1D">
              <w:rPr>
                <w:sz w:val="20"/>
                <w:szCs w:val="20"/>
              </w:rPr>
              <w:t>-CAC-CGG-TGT-GGC-TCT-TTA-AC-3</w:t>
            </w:r>
            <w:r>
              <w:rPr>
                <w:sz w:val="20"/>
                <w:szCs w:val="20"/>
              </w:rPr>
              <w:t>’</w:t>
            </w:r>
          </w:p>
        </w:tc>
      </w:tr>
      <w:tr w:rsidR="000F318F" w:rsidRPr="00E126DA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2: Reverse</w:t>
            </w:r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  <w:lang w:val="en-US"/>
              </w:rPr>
            </w:pPr>
            <w:r w:rsidRPr="00640D1D">
              <w:rPr>
                <w:sz w:val="20"/>
                <w:szCs w:val="20"/>
                <w:lang w:val="en-US"/>
              </w:rPr>
              <w:t>5’-TGG-GCT-TAA-TTT-TTC-AAG-TGG-3’</w:t>
            </w:r>
          </w:p>
        </w:tc>
      </w:tr>
      <w:tr w:rsidR="000F318F" w:rsidRPr="00640D1D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 xml:space="preserve">3: </w:t>
            </w:r>
            <w:proofErr w:type="spellStart"/>
            <w:r w:rsidRPr="00640D1D">
              <w:rPr>
                <w:sz w:val="20"/>
                <w:szCs w:val="20"/>
              </w:rPr>
              <w:t>Forward</w:t>
            </w:r>
            <w:proofErr w:type="spellEnd"/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 w:rsidRPr="00640D1D">
              <w:rPr>
                <w:sz w:val="20"/>
                <w:szCs w:val="20"/>
              </w:rPr>
              <w:t>-GCA-AAG-CCT-CTT-GTT-CGT-TC-3</w:t>
            </w:r>
            <w:r>
              <w:rPr>
                <w:sz w:val="20"/>
                <w:szCs w:val="20"/>
              </w:rPr>
              <w:t>’</w:t>
            </w:r>
          </w:p>
        </w:tc>
      </w:tr>
      <w:tr w:rsidR="000F318F" w:rsidRPr="00E126DA" w:rsidTr="000F318F">
        <w:tc>
          <w:tcPr>
            <w:tcW w:w="1344" w:type="dxa"/>
          </w:tcPr>
          <w:p w:rsidR="000F318F" w:rsidRPr="00640D1D" w:rsidRDefault="000F318F" w:rsidP="000F318F">
            <w:pPr>
              <w:rPr>
                <w:sz w:val="20"/>
                <w:szCs w:val="20"/>
              </w:rPr>
            </w:pPr>
            <w:r w:rsidRPr="00640D1D">
              <w:rPr>
                <w:sz w:val="20"/>
                <w:szCs w:val="20"/>
              </w:rPr>
              <w:t>3: Reverse</w:t>
            </w:r>
          </w:p>
        </w:tc>
        <w:tc>
          <w:tcPr>
            <w:tcW w:w="4531" w:type="dxa"/>
          </w:tcPr>
          <w:p w:rsidR="000F318F" w:rsidRPr="00640D1D" w:rsidRDefault="000F318F" w:rsidP="000F318F">
            <w:pPr>
              <w:rPr>
                <w:sz w:val="20"/>
                <w:szCs w:val="20"/>
                <w:lang w:val="en-US"/>
              </w:rPr>
            </w:pPr>
            <w:r w:rsidRPr="00640D1D">
              <w:rPr>
                <w:sz w:val="20"/>
                <w:szCs w:val="20"/>
                <w:lang w:val="en-US"/>
              </w:rPr>
              <w:t>5’-ACC-ATC-AAA-AGC-TGA-GAT-GAA-3’</w:t>
            </w:r>
          </w:p>
        </w:tc>
      </w:tr>
    </w:tbl>
    <w:p w:rsidR="00676702" w:rsidRDefault="00676702" w:rsidP="00640D1D">
      <w:pPr>
        <w:rPr>
          <w:lang w:val="en-US"/>
        </w:rPr>
      </w:pPr>
    </w:p>
    <w:p w:rsidR="00676702" w:rsidRDefault="00676702" w:rsidP="00640D1D">
      <w:pPr>
        <w:rPr>
          <w:lang w:val="en-US"/>
        </w:rPr>
      </w:pPr>
    </w:p>
    <w:p w:rsidR="00676702" w:rsidRDefault="00676702" w:rsidP="00640D1D">
      <w:pPr>
        <w:rPr>
          <w:lang w:val="en-US"/>
        </w:rPr>
      </w:pPr>
    </w:p>
    <w:p w:rsidR="00676702" w:rsidRDefault="00676702" w:rsidP="00640D1D">
      <w:pPr>
        <w:rPr>
          <w:lang w:val="en-US"/>
        </w:rPr>
      </w:pPr>
    </w:p>
    <w:p w:rsidR="00676702" w:rsidRDefault="00676702" w:rsidP="00640D1D">
      <w:pPr>
        <w:rPr>
          <w:lang w:val="en-US"/>
        </w:rPr>
      </w:pPr>
    </w:p>
    <w:p w:rsidR="000F318F" w:rsidRDefault="000F318F" w:rsidP="00640D1D">
      <w:pPr>
        <w:rPr>
          <w:lang w:val="en-US"/>
        </w:rPr>
      </w:pPr>
    </w:p>
    <w:p w:rsidR="000F318F" w:rsidRDefault="000F318F" w:rsidP="00640D1D">
      <w:pPr>
        <w:rPr>
          <w:lang w:val="en-US"/>
        </w:rPr>
      </w:pPr>
    </w:p>
    <w:p w:rsidR="00676702" w:rsidRPr="00AD07C5" w:rsidRDefault="00EE2FBE" w:rsidP="000F318F">
      <w:pPr>
        <w:ind w:firstLine="708"/>
        <w:rPr>
          <w:b/>
          <w:lang w:val="en-US"/>
        </w:rPr>
      </w:pPr>
      <w:r w:rsidRPr="00AD07C5">
        <w:rPr>
          <w:b/>
          <w:lang w:val="en-US"/>
        </w:rPr>
        <w:t xml:space="preserve">Table </w:t>
      </w:r>
      <w:r w:rsidR="00293FD8" w:rsidRPr="00AD07C5">
        <w:rPr>
          <w:b/>
          <w:lang w:val="en-US"/>
        </w:rPr>
        <w:t>II</w:t>
      </w:r>
      <w:r w:rsidR="00300402" w:rsidRPr="00AD07C5">
        <w:rPr>
          <w:b/>
          <w:lang w:val="en-US"/>
        </w:rPr>
        <w:t xml:space="preserve">: Characteristics of </w:t>
      </w:r>
      <w:r w:rsidR="00871D87" w:rsidRPr="00AD07C5">
        <w:rPr>
          <w:b/>
          <w:lang w:val="en-US"/>
        </w:rPr>
        <w:t xml:space="preserve">metastatic </w:t>
      </w:r>
      <w:r w:rsidR="006A2F5D" w:rsidRPr="00AD07C5">
        <w:rPr>
          <w:b/>
          <w:lang w:val="en-US"/>
        </w:rPr>
        <w:t>patients</w:t>
      </w:r>
    </w:p>
    <w:tbl>
      <w:tblPr>
        <w:tblpPr w:leftFromText="141" w:rightFromText="141" w:vertAnchor="page" w:horzAnchor="margin" w:tblpXSpec="center" w:tblpY="5941"/>
        <w:tblW w:w="6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44"/>
        <w:gridCol w:w="3445"/>
      </w:tblGrid>
      <w:tr w:rsidR="000F318F" w:rsidRPr="00166058" w:rsidTr="000F318F">
        <w:trPr>
          <w:cantSplit/>
          <w:trHeight w:hRule="exact" w:val="434"/>
        </w:trPr>
        <w:tc>
          <w:tcPr>
            <w:tcW w:w="33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>
              <w:rPr>
                <w:sz w:val="20"/>
                <w:szCs w:val="20"/>
                <w:lang w:val="en-US" w:eastAsia="fr-FR"/>
              </w:rPr>
              <w:t>Variables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>
              <w:rPr>
                <w:sz w:val="20"/>
                <w:szCs w:val="20"/>
                <w:lang w:val="en-US" w:eastAsia="fr-FR"/>
              </w:rPr>
              <w:t>Number of metastatic patients (%)</w:t>
            </w:r>
          </w:p>
        </w:tc>
      </w:tr>
      <w:tr w:rsidR="000F318F" w:rsidRPr="00166058" w:rsidTr="000F318F">
        <w:trPr>
          <w:cantSplit/>
          <w:trHeight w:hRule="exact" w:val="458"/>
        </w:trPr>
        <w:tc>
          <w:tcPr>
            <w:tcW w:w="33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 xml:space="preserve">Metastatic </w:t>
            </w:r>
            <w:r>
              <w:rPr>
                <w:sz w:val="20"/>
                <w:szCs w:val="20"/>
                <w:lang w:val="en-US" w:eastAsia="fr-FR"/>
              </w:rPr>
              <w:t>sites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 xml:space="preserve">     Lung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>32 (66.7%)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 xml:space="preserve">     Bone 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>27 (56.3%)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 xml:space="preserve">     Distant lymph node 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>
              <w:rPr>
                <w:sz w:val="20"/>
                <w:szCs w:val="20"/>
                <w:lang w:val="en-US" w:eastAsia="fr-FR"/>
              </w:rPr>
              <w:t>16 (33.3%)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 xml:space="preserve">     Liver 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>
              <w:rPr>
                <w:sz w:val="20"/>
                <w:szCs w:val="20"/>
                <w:lang w:val="en-US" w:eastAsia="fr-FR"/>
              </w:rPr>
              <w:t>7 (14.6%)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 xml:space="preserve">     Unique site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>
              <w:rPr>
                <w:sz w:val="20"/>
                <w:szCs w:val="20"/>
                <w:lang w:val="en-US" w:eastAsia="fr-FR"/>
              </w:rPr>
              <w:t>16 (33.3%)</w:t>
            </w:r>
          </w:p>
        </w:tc>
      </w:tr>
      <w:tr w:rsidR="000F318F" w:rsidRPr="00A047FE" w:rsidTr="000F318F">
        <w:trPr>
          <w:cantSplit/>
          <w:trHeight w:hRule="exact" w:val="399"/>
        </w:trPr>
        <w:tc>
          <w:tcPr>
            <w:tcW w:w="33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MSKCC score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</w:p>
        </w:tc>
      </w:tr>
      <w:tr w:rsidR="000F318F" w:rsidRPr="00430EAA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Favorable 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8 (16.7%)</w:t>
            </w:r>
          </w:p>
        </w:tc>
      </w:tr>
      <w:tr w:rsidR="000F318F" w:rsidRPr="00430EAA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Intermediate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27 (56.3%)</w:t>
            </w:r>
          </w:p>
        </w:tc>
      </w:tr>
      <w:tr w:rsidR="000F318F" w:rsidRPr="00430EAA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Poor 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13 (27.0%)</w:t>
            </w:r>
          </w:p>
        </w:tc>
      </w:tr>
      <w:tr w:rsidR="000F318F" w:rsidRPr="00A047FE" w:rsidTr="000F318F">
        <w:trPr>
          <w:cantSplit/>
          <w:trHeight w:hRule="exact" w:val="399"/>
        </w:trPr>
        <w:tc>
          <w:tcPr>
            <w:tcW w:w="33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proofErr w:type="spellStart"/>
            <w:r w:rsidRPr="00871D87">
              <w:rPr>
                <w:sz w:val="20"/>
                <w:szCs w:val="20"/>
                <w:lang w:val="en-US" w:eastAsia="fr-FR"/>
              </w:rPr>
              <w:t>Heng</w:t>
            </w:r>
            <w:proofErr w:type="spellEnd"/>
            <w:r w:rsidRPr="00871D87">
              <w:rPr>
                <w:sz w:val="20"/>
                <w:szCs w:val="20"/>
                <w:lang w:val="en-US" w:eastAsia="fr-FR"/>
              </w:rPr>
              <w:t xml:space="preserve"> criteria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</w:p>
        </w:tc>
      </w:tr>
      <w:tr w:rsidR="000F318F" w:rsidRPr="00A047FE" w:rsidTr="000F318F">
        <w:trPr>
          <w:cantSplit/>
          <w:trHeight w:hRule="exact" w:val="386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Favorable 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9 (18.7%)</w:t>
            </w:r>
          </w:p>
        </w:tc>
      </w:tr>
      <w:tr w:rsidR="000F318F" w:rsidRPr="00A047FE" w:rsidTr="000F318F">
        <w:trPr>
          <w:cantSplit/>
          <w:trHeight w:hRule="exact" w:val="17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Intermediate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</w:p>
        </w:tc>
      </w:tr>
      <w:tr w:rsidR="000F318F" w:rsidRPr="00A047FE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Poor 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19 (39.6%)</w:t>
            </w:r>
          </w:p>
        </w:tc>
      </w:tr>
      <w:tr w:rsidR="000F318F" w:rsidRPr="00A047FE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 xml:space="preserve">     Favorable  prognosis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871D87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  <w:r w:rsidRPr="00871D87">
              <w:rPr>
                <w:sz w:val="20"/>
                <w:szCs w:val="20"/>
                <w:lang w:val="en-US" w:eastAsia="fr-FR"/>
              </w:rPr>
              <w:t>20 (41.7%)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  <w:lang w:val="en-US" w:eastAsia="fr-FR"/>
              </w:rPr>
              <w:t>Treatment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  <w:lang w:val="en-US" w:eastAsia="fr-FR"/>
              </w:rPr>
            </w:pP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</w:rPr>
              <w:t xml:space="preserve">     Cytokines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(29.2%)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</w:rPr>
              <w:t xml:space="preserve">     Sunitinib</w:t>
            </w:r>
            <w:r>
              <w:rPr>
                <w:sz w:val="20"/>
                <w:szCs w:val="20"/>
              </w:rPr>
              <w:t xml:space="preserve"> (first-line or second line)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(27.1%)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sz w:val="20"/>
                <w:szCs w:val="20"/>
              </w:rPr>
              <w:t>Sorafenib</w:t>
            </w:r>
            <w:proofErr w:type="spellEnd"/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(7.1%)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Hormone therapy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(10.7%)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Standard chemotherapy 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(7.1%)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</w:rPr>
              <w:t xml:space="preserve">     Supportive care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(39.3%)</w:t>
            </w:r>
          </w:p>
        </w:tc>
      </w:tr>
      <w:tr w:rsidR="000F318F" w:rsidRPr="00166058" w:rsidTr="000F318F">
        <w:trPr>
          <w:cantSplit/>
          <w:trHeight w:hRule="exact" w:val="399"/>
        </w:trPr>
        <w:tc>
          <w:tcPr>
            <w:tcW w:w="33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left"/>
              <w:rPr>
                <w:sz w:val="20"/>
                <w:szCs w:val="20"/>
                <w:lang w:val="en-US" w:eastAsia="fr-FR"/>
              </w:rPr>
            </w:pPr>
            <w:r w:rsidRPr="00300402">
              <w:rPr>
                <w:sz w:val="20"/>
                <w:szCs w:val="20"/>
              </w:rPr>
              <w:t xml:space="preserve">     Unknown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18F" w:rsidRPr="00300402" w:rsidRDefault="000F318F" w:rsidP="000F318F">
            <w:pPr>
              <w:pStyle w:val="Corpsdetexte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(16.7%)</w:t>
            </w:r>
          </w:p>
        </w:tc>
      </w:tr>
    </w:tbl>
    <w:p w:rsidR="00676702" w:rsidRDefault="00676702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Pr="00AD07C5" w:rsidRDefault="00E126DA" w:rsidP="00640D1D">
      <w:pPr>
        <w:rPr>
          <w:b/>
          <w:lang w:val="en-US"/>
        </w:rPr>
      </w:pPr>
      <w:r w:rsidRPr="00AD07C5">
        <w:rPr>
          <w:b/>
          <w:lang w:val="en-US"/>
        </w:rPr>
        <w:lastRenderedPageBreak/>
        <w:t>Table III: VHL complete statu</w:t>
      </w:r>
      <w:bookmarkStart w:id="0" w:name="_GoBack"/>
      <w:bookmarkEnd w:id="0"/>
      <w:r w:rsidRPr="00AD07C5">
        <w:rPr>
          <w:b/>
          <w:lang w:val="en-US"/>
        </w:rPr>
        <w:t>s</w:t>
      </w:r>
    </w:p>
    <w:p w:rsidR="00E126DA" w:rsidRDefault="00E126DA" w:rsidP="00640D1D">
      <w:pPr>
        <w:rPr>
          <w:lang w:val="en-US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18"/>
        <w:gridCol w:w="1317"/>
        <w:gridCol w:w="1155"/>
        <w:gridCol w:w="2056"/>
        <w:gridCol w:w="2237"/>
        <w:gridCol w:w="858"/>
        <w:gridCol w:w="1059"/>
      </w:tblGrid>
      <w:tr w:rsidR="00E126DA" w:rsidRPr="00E126DA" w:rsidTr="00E126DA">
        <w:trPr>
          <w:trHeight w:val="49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Mutation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Mutation type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Mutation site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cDNA</w:t>
            </w:r>
            <w:proofErr w:type="spellEnd"/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 change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Predicted</w:t>
            </w:r>
            <w:proofErr w:type="spellEnd"/>
            <w:r w:rsidRPr="00E126D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protein</w:t>
            </w:r>
            <w:proofErr w:type="spellEnd"/>
            <w:r w:rsidRPr="00E126D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change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Deletion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Promoter</w:t>
            </w:r>
            <w:proofErr w:type="spellEnd"/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methylation</w:t>
            </w:r>
            <w:proofErr w:type="spellEnd"/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c.208G&gt;T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p.Glu70X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FF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SPLICE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c.464-1G&gt;C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Splicing</w:t>
            </w:r>
            <w:proofErr w:type="spellEnd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c.415del6insAACCCTA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p.Ser139AsnfsX5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c.477delA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p.Glu160SerfsX10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c.277G&gt;C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p.Gly93Arg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c.504delT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p.Leu169GlnfsX32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c.186del14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p.Arg64AlafsX63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SPLICE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c.463delG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splicing</w:t>
            </w:r>
            <w:proofErr w:type="spellEnd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c.489A&gt;C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p.Gln164Pro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c.391delA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p.Asn131ThrfsX28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c.232A&gt;T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p.Asn78Tyr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c.452T&gt;G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p.Ile151Ser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c.230del5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p.Cys77SerfsX53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c.521delT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p.Tyr175ThrfsX27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c.468T&gt;G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p.Tyr156X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c.404T&gt;A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p.Leu135X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c.194C&gt;A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p.Ser65X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c.346del2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p.Trp117AlafsX14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c.528del6insC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p.ArgThr177fsX77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c.194 C&gt;G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p.Ser65Trp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c.279insGGAC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p.Glu94GlyfsX39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c.227T&gt;C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p.Phe76Ser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SPLICE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c.341-1G&gt;A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Splicing</w:t>
            </w:r>
            <w:proofErr w:type="spellEnd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c.349 T&gt;C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p.Trp117Arg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FF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c.479C&gt;T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p.Arg161X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c.232A&gt;C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p.Asn78His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c.638C&gt;T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p.Gln195X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c.171del2insCCGGCCGGCC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p.Arg58ProfsX12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c.261del2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p.Trp88AlafsX43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c.231C&gt;A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p.Cys77X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c.227del3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p.Phe76del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lastRenderedPageBreak/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c.286delC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p.Gln96SerfsX63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c.473T&gt;C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p.Leu158Pro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c.407del2insG</w:t>
            </w:r>
            <w:r w:rsidRPr="00E126DA">
              <w:rPr>
                <w:rFonts w:eastAsia="Times New Roman"/>
                <w:color w:val="FF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p.Phe136TrpfsX23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339966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3399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SPLICE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c.463+1G&gt;T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Splicing</w:t>
            </w:r>
            <w:proofErr w:type="spellEnd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339966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3399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c.133del C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p.Ser72ProfsX87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c.463G&gt;T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p.Val155Leu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c.343delC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p.His115ThrfsX44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c.340G&gt;C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p.Gly114Arg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c.404delT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p.Leu135TyrfsX24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c.484C&gt;G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p.Cys162Trp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c.271delT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p.Phe91SerfsX68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c.461delC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p.Pro154GlnfsX5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SPLICE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c.341-1G&gt;T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Splicing</w:t>
            </w:r>
            <w:proofErr w:type="spellEnd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c.194C&gt;A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p.Ser65X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c.361G&gt;T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p.Asp121Tyr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c.408insT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p.Val137CysfsX7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c.235dup3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p.Asn78dup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c.300del2insT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p.Leu101CysfsX58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c.469del9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p.Thr157_Leu158_Lys159del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c.393del2insT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p.Gln132LysfsX27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c.208G&gt;T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p.Glu70X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c.515delC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p.Pro172LeufsX30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c.436C&gt;G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p.Pro146Ala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c.493insT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p.Val166CysfsX8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c.449delA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p.Asn150IlefsX9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339966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3399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c.423delT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p.Asn141LysfsX18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c.454delA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p.Thr152HisfsX7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339966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339966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c.234delT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p.Arg79AlafsX79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c.242delC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p.Pro81ArgfsX78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FRAMESHIFT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c.404delT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p.Leu135TyrfsX24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c.240T&gt;A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p.Ser80Arg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 c.343C&gt;A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p.His115Asn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c.343C&gt;A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p.His115Asn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c.240T&gt;G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p.Ser80Arg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STOP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c.208G&gt;T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p.Glu70X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MISSENSE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c.264G&gt;C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p.Trp88Cys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lastRenderedPageBreak/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SPLICE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EXON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c.463+2T&gt;C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Splicing</w:t>
            </w:r>
            <w:proofErr w:type="spellEnd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effect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YES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  <w:tr w:rsidR="00E126DA" w:rsidRPr="00E126DA" w:rsidTr="00E126DA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 MUTATION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 xml:space="preserve">NO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6DA" w:rsidRPr="00E126DA" w:rsidRDefault="00E126DA" w:rsidP="00E126D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fr-FR"/>
              </w:rPr>
            </w:pPr>
            <w:r w:rsidRPr="00E126DA">
              <w:rPr>
                <w:rFonts w:eastAsia="Times New Roman"/>
                <w:sz w:val="16"/>
                <w:szCs w:val="16"/>
                <w:lang w:eastAsia="fr-FR"/>
              </w:rPr>
              <w:t>NO</w:t>
            </w:r>
          </w:p>
        </w:tc>
      </w:tr>
    </w:tbl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Default="00E126DA" w:rsidP="00640D1D">
      <w:pPr>
        <w:rPr>
          <w:lang w:val="en-US"/>
        </w:rPr>
      </w:pPr>
    </w:p>
    <w:p w:rsidR="00E126DA" w:rsidRPr="00640D1D" w:rsidRDefault="00E126DA" w:rsidP="00640D1D">
      <w:pPr>
        <w:rPr>
          <w:lang w:val="en-US"/>
        </w:rPr>
      </w:pPr>
    </w:p>
    <w:sectPr w:rsidR="00E126DA" w:rsidRPr="00640D1D" w:rsidSect="000F3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1D"/>
    <w:rsid w:val="000F318F"/>
    <w:rsid w:val="00293FD8"/>
    <w:rsid w:val="00300402"/>
    <w:rsid w:val="00531E84"/>
    <w:rsid w:val="005B4075"/>
    <w:rsid w:val="00640D1D"/>
    <w:rsid w:val="00653585"/>
    <w:rsid w:val="00676702"/>
    <w:rsid w:val="006A2F5D"/>
    <w:rsid w:val="007E62BF"/>
    <w:rsid w:val="00871D87"/>
    <w:rsid w:val="008C04F9"/>
    <w:rsid w:val="00A0168B"/>
    <w:rsid w:val="00AD07C5"/>
    <w:rsid w:val="00E126DA"/>
    <w:rsid w:val="00EE2FBE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locked/>
    <w:rsid w:val="00676702"/>
    <w:rPr>
      <w:lang w:val="en-GB" w:eastAsia="x-none"/>
    </w:rPr>
  </w:style>
  <w:style w:type="paragraph" w:styleId="Corpsdetexte">
    <w:name w:val="Body Text"/>
    <w:basedOn w:val="Normal"/>
    <w:link w:val="CorpsdetexteCar"/>
    <w:rsid w:val="00676702"/>
    <w:pPr>
      <w:spacing w:after="0" w:line="240" w:lineRule="auto"/>
      <w:jc w:val="both"/>
    </w:pPr>
    <w:rPr>
      <w:lang w:val="en-GB" w:eastAsia="x-none"/>
    </w:rPr>
  </w:style>
  <w:style w:type="character" w:customStyle="1" w:styleId="CorpsdetexteCar1">
    <w:name w:val="Corps de texte Car1"/>
    <w:basedOn w:val="Policepardfaut"/>
    <w:uiPriority w:val="99"/>
    <w:semiHidden/>
    <w:rsid w:val="00676702"/>
  </w:style>
  <w:style w:type="character" w:styleId="Lienhypertexte">
    <w:name w:val="Hyperlink"/>
    <w:basedOn w:val="Policepardfaut"/>
    <w:uiPriority w:val="99"/>
    <w:semiHidden/>
    <w:unhideWhenUsed/>
    <w:rsid w:val="00E126DA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26DA"/>
    <w:rPr>
      <w:color w:val="954F72"/>
      <w:u w:val="single"/>
    </w:rPr>
  </w:style>
  <w:style w:type="paragraph" w:customStyle="1" w:styleId="font5">
    <w:name w:val="font5"/>
    <w:basedOn w:val="Normal"/>
    <w:rsid w:val="00E126DA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E126DA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fr-FR"/>
    </w:rPr>
  </w:style>
  <w:style w:type="paragraph" w:customStyle="1" w:styleId="xl161">
    <w:name w:val="xl161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6"/>
      <w:szCs w:val="16"/>
      <w:lang w:eastAsia="fr-FR"/>
    </w:rPr>
  </w:style>
  <w:style w:type="paragraph" w:customStyle="1" w:styleId="xl163">
    <w:name w:val="xl163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fr-FR"/>
    </w:rPr>
  </w:style>
  <w:style w:type="paragraph" w:customStyle="1" w:styleId="xl164">
    <w:name w:val="xl164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fr-FR"/>
    </w:rPr>
  </w:style>
  <w:style w:type="paragraph" w:customStyle="1" w:styleId="xl165">
    <w:name w:val="xl165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6"/>
      <w:szCs w:val="16"/>
      <w:lang w:eastAsia="fr-FR"/>
    </w:rPr>
  </w:style>
  <w:style w:type="paragraph" w:customStyle="1" w:styleId="xl166">
    <w:name w:val="xl166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fr-FR"/>
    </w:rPr>
  </w:style>
  <w:style w:type="paragraph" w:customStyle="1" w:styleId="xl167">
    <w:name w:val="xl167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9966"/>
      <w:sz w:val="16"/>
      <w:szCs w:val="16"/>
      <w:lang w:eastAsia="fr-FR"/>
    </w:rPr>
  </w:style>
  <w:style w:type="paragraph" w:customStyle="1" w:styleId="xl168">
    <w:name w:val="xl168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fr-FR"/>
    </w:rPr>
  </w:style>
  <w:style w:type="paragraph" w:customStyle="1" w:styleId="xl169">
    <w:name w:val="xl169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locked/>
    <w:rsid w:val="00676702"/>
    <w:rPr>
      <w:lang w:val="en-GB" w:eastAsia="x-none"/>
    </w:rPr>
  </w:style>
  <w:style w:type="paragraph" w:styleId="Corpsdetexte">
    <w:name w:val="Body Text"/>
    <w:basedOn w:val="Normal"/>
    <w:link w:val="CorpsdetexteCar"/>
    <w:rsid w:val="00676702"/>
    <w:pPr>
      <w:spacing w:after="0" w:line="240" w:lineRule="auto"/>
      <w:jc w:val="both"/>
    </w:pPr>
    <w:rPr>
      <w:lang w:val="en-GB" w:eastAsia="x-none"/>
    </w:rPr>
  </w:style>
  <w:style w:type="character" w:customStyle="1" w:styleId="CorpsdetexteCar1">
    <w:name w:val="Corps de texte Car1"/>
    <w:basedOn w:val="Policepardfaut"/>
    <w:uiPriority w:val="99"/>
    <w:semiHidden/>
    <w:rsid w:val="00676702"/>
  </w:style>
  <w:style w:type="character" w:styleId="Lienhypertexte">
    <w:name w:val="Hyperlink"/>
    <w:basedOn w:val="Policepardfaut"/>
    <w:uiPriority w:val="99"/>
    <w:semiHidden/>
    <w:unhideWhenUsed/>
    <w:rsid w:val="00E126DA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26DA"/>
    <w:rPr>
      <w:color w:val="954F72"/>
      <w:u w:val="single"/>
    </w:rPr>
  </w:style>
  <w:style w:type="paragraph" w:customStyle="1" w:styleId="font5">
    <w:name w:val="font5"/>
    <w:basedOn w:val="Normal"/>
    <w:rsid w:val="00E126DA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fr-FR"/>
    </w:rPr>
  </w:style>
  <w:style w:type="paragraph" w:customStyle="1" w:styleId="font6">
    <w:name w:val="font6"/>
    <w:basedOn w:val="Normal"/>
    <w:rsid w:val="00E126DA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fr-FR"/>
    </w:rPr>
  </w:style>
  <w:style w:type="paragraph" w:customStyle="1" w:styleId="xl161">
    <w:name w:val="xl161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lang w:eastAsia="fr-FR"/>
    </w:rPr>
  </w:style>
  <w:style w:type="paragraph" w:customStyle="1" w:styleId="xl162">
    <w:name w:val="xl162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6"/>
      <w:szCs w:val="16"/>
      <w:lang w:eastAsia="fr-FR"/>
    </w:rPr>
  </w:style>
  <w:style w:type="paragraph" w:customStyle="1" w:styleId="xl163">
    <w:name w:val="xl163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fr-FR"/>
    </w:rPr>
  </w:style>
  <w:style w:type="paragraph" w:customStyle="1" w:styleId="xl164">
    <w:name w:val="xl164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fr-FR"/>
    </w:rPr>
  </w:style>
  <w:style w:type="paragraph" w:customStyle="1" w:styleId="xl165">
    <w:name w:val="xl165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6"/>
      <w:szCs w:val="16"/>
      <w:lang w:eastAsia="fr-FR"/>
    </w:rPr>
  </w:style>
  <w:style w:type="paragraph" w:customStyle="1" w:styleId="xl166">
    <w:name w:val="xl166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fr-FR"/>
    </w:rPr>
  </w:style>
  <w:style w:type="paragraph" w:customStyle="1" w:styleId="xl167">
    <w:name w:val="xl167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339966"/>
      <w:sz w:val="16"/>
      <w:szCs w:val="16"/>
      <w:lang w:eastAsia="fr-FR"/>
    </w:rPr>
  </w:style>
  <w:style w:type="paragraph" w:customStyle="1" w:styleId="xl168">
    <w:name w:val="xl168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fr-FR"/>
    </w:rPr>
  </w:style>
  <w:style w:type="paragraph" w:customStyle="1" w:styleId="xl169">
    <w:name w:val="xl169"/>
    <w:basedOn w:val="Normal"/>
    <w:rsid w:val="00E126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sjacquet</dc:creator>
  <cp:lastModifiedBy>KAMMERER Solene florence</cp:lastModifiedBy>
  <cp:revision>6</cp:revision>
  <dcterms:created xsi:type="dcterms:W3CDTF">2016-08-19T14:07:00Z</dcterms:created>
  <dcterms:modified xsi:type="dcterms:W3CDTF">2016-08-19T16:02:00Z</dcterms:modified>
</cp:coreProperties>
</file>