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E5" w:rsidRPr="004663D0" w:rsidRDefault="004663D0" w:rsidP="004663D0">
      <w:pPr>
        <w:spacing w:after="0" w:line="480" w:lineRule="auto"/>
        <w:jc w:val="center"/>
        <w:rPr>
          <w:sz w:val="28"/>
          <w:szCs w:val="28"/>
          <w:lang w:val="en-US"/>
        </w:rPr>
      </w:pPr>
      <w:r w:rsidRPr="004663D0">
        <w:rPr>
          <w:sz w:val="28"/>
          <w:szCs w:val="28"/>
          <w:lang w:val="en-US"/>
        </w:rPr>
        <w:t>Electronic supplementary info</w:t>
      </w:r>
    </w:p>
    <w:p w:rsidR="00A63433" w:rsidRDefault="00A63433" w:rsidP="00A745E5">
      <w:pPr>
        <w:spacing w:after="0" w:line="480" w:lineRule="auto"/>
        <w:jc w:val="both"/>
        <w:rPr>
          <w:sz w:val="24"/>
          <w:szCs w:val="24"/>
          <w:lang w:val="en-US"/>
        </w:rPr>
      </w:pPr>
    </w:p>
    <w:p w:rsidR="00653EF3" w:rsidRPr="00910B5F" w:rsidRDefault="00653EF3" w:rsidP="00653EF3">
      <w:pPr>
        <w:pStyle w:val="Paragraphedeliste"/>
        <w:ind w:left="0"/>
        <w:jc w:val="center"/>
        <w:rPr>
          <w:rFonts w:cs="Times New Roman"/>
          <w:b/>
          <w:sz w:val="32"/>
          <w:szCs w:val="32"/>
          <w:lang w:val="en-US"/>
        </w:rPr>
      </w:pPr>
      <w:r w:rsidRPr="00910B5F">
        <w:rPr>
          <w:rFonts w:cs="Times New Roman"/>
          <w:b/>
          <w:sz w:val="32"/>
          <w:szCs w:val="32"/>
          <w:lang w:val="en-US"/>
        </w:rPr>
        <w:t xml:space="preserve">Synthesis process and hydrodynamic behavior of a new filtration material for passive wastewater </w:t>
      </w:r>
      <w:proofErr w:type="spellStart"/>
      <w:r w:rsidRPr="00910B5F">
        <w:rPr>
          <w:rFonts w:cs="Times New Roman"/>
          <w:b/>
          <w:sz w:val="32"/>
          <w:szCs w:val="32"/>
          <w:lang w:val="en-US"/>
        </w:rPr>
        <w:t>dephosphatation</w:t>
      </w:r>
      <w:proofErr w:type="spellEnd"/>
    </w:p>
    <w:p w:rsidR="004663D0" w:rsidRDefault="004663D0" w:rsidP="004663D0">
      <w:pPr>
        <w:spacing w:after="0" w:line="480" w:lineRule="auto"/>
        <w:rPr>
          <w:sz w:val="24"/>
          <w:szCs w:val="24"/>
          <w:lang w:val="en-US"/>
        </w:rPr>
      </w:pPr>
      <w:bookmarkStart w:id="0" w:name="_GoBack"/>
      <w:bookmarkEnd w:id="0"/>
    </w:p>
    <w:p w:rsidR="004663D0" w:rsidRPr="00CD64E7" w:rsidRDefault="004663D0" w:rsidP="004663D0">
      <w:pPr>
        <w:spacing w:after="0" w:line="480" w:lineRule="auto"/>
        <w:jc w:val="center"/>
        <w:rPr>
          <w:sz w:val="24"/>
          <w:szCs w:val="24"/>
          <w:lang w:val="en-US"/>
        </w:rPr>
      </w:pPr>
      <w:r w:rsidRPr="00CD64E7">
        <w:rPr>
          <w:sz w:val="24"/>
          <w:szCs w:val="24"/>
          <w:lang w:val="en-US"/>
        </w:rPr>
        <w:t>C. Ruby</w:t>
      </w:r>
      <w:r w:rsidRPr="00CD64E7">
        <w:rPr>
          <w:sz w:val="24"/>
          <w:szCs w:val="24"/>
          <w:vertAlign w:val="superscript"/>
          <w:lang w:val="en-US"/>
        </w:rPr>
        <w:t>*</w:t>
      </w:r>
      <w:proofErr w:type="gramStart"/>
      <w:r w:rsidRPr="00CD64E7">
        <w:rPr>
          <w:sz w:val="24"/>
          <w:szCs w:val="24"/>
          <w:vertAlign w:val="superscript"/>
          <w:lang w:val="en-US"/>
        </w:rPr>
        <w:t>,1,2</w:t>
      </w:r>
      <w:proofErr w:type="gramEnd"/>
      <w:r w:rsidRPr="00CD64E7">
        <w:rPr>
          <w:sz w:val="24"/>
          <w:szCs w:val="24"/>
          <w:lang w:val="en-US"/>
        </w:rPr>
        <w:t>, K. Barthélémy</w:t>
      </w:r>
      <w:r w:rsidRPr="00CD64E7">
        <w:rPr>
          <w:sz w:val="24"/>
          <w:szCs w:val="24"/>
          <w:vertAlign w:val="superscript"/>
          <w:lang w:val="en-US"/>
        </w:rPr>
        <w:t>1,2</w:t>
      </w:r>
      <w:r w:rsidRPr="00CD64E7">
        <w:rPr>
          <w:sz w:val="24"/>
          <w:szCs w:val="24"/>
          <w:lang w:val="en-US"/>
        </w:rPr>
        <w:t xml:space="preserve">, </w:t>
      </w:r>
      <w:r>
        <w:rPr>
          <w:sz w:val="24"/>
          <w:szCs w:val="24"/>
          <w:lang w:val="en-US"/>
        </w:rPr>
        <w:t>K. Hanna</w:t>
      </w:r>
      <w:r w:rsidRPr="00CD64E7">
        <w:rPr>
          <w:sz w:val="24"/>
          <w:szCs w:val="24"/>
          <w:vertAlign w:val="superscript"/>
          <w:lang w:val="en-US"/>
        </w:rPr>
        <w:t>3</w:t>
      </w:r>
      <w:r>
        <w:rPr>
          <w:sz w:val="24"/>
          <w:szCs w:val="24"/>
          <w:vertAlign w:val="superscript"/>
          <w:lang w:val="en-US"/>
        </w:rPr>
        <w:t>,4</w:t>
      </w:r>
      <w:r>
        <w:rPr>
          <w:sz w:val="24"/>
          <w:szCs w:val="24"/>
          <w:lang w:val="en-US"/>
        </w:rPr>
        <w:t>, M. Mallet</w:t>
      </w:r>
      <w:r w:rsidRPr="00CD64E7">
        <w:rPr>
          <w:sz w:val="24"/>
          <w:szCs w:val="24"/>
          <w:vertAlign w:val="superscript"/>
          <w:lang w:val="en-US"/>
        </w:rPr>
        <w:t>1,2</w:t>
      </w:r>
      <w:r>
        <w:rPr>
          <w:sz w:val="24"/>
          <w:szCs w:val="24"/>
          <w:lang w:val="en-US"/>
        </w:rPr>
        <w:t xml:space="preserve">, </w:t>
      </w:r>
      <w:r w:rsidRPr="00CD64E7">
        <w:rPr>
          <w:sz w:val="24"/>
          <w:szCs w:val="24"/>
          <w:lang w:val="en-US"/>
        </w:rPr>
        <w:t>S. Naille</w:t>
      </w:r>
      <w:r w:rsidRPr="00CD64E7">
        <w:rPr>
          <w:sz w:val="24"/>
          <w:szCs w:val="24"/>
          <w:vertAlign w:val="superscript"/>
          <w:lang w:val="en-US"/>
        </w:rPr>
        <w:t>1,2</w:t>
      </w:r>
    </w:p>
    <w:p w:rsidR="004663D0" w:rsidRPr="00CD64E7" w:rsidRDefault="004663D0" w:rsidP="004663D0">
      <w:pPr>
        <w:spacing w:after="0" w:line="480" w:lineRule="auto"/>
        <w:rPr>
          <w:sz w:val="24"/>
          <w:szCs w:val="24"/>
          <w:lang w:val="en-US"/>
        </w:rPr>
      </w:pPr>
    </w:p>
    <w:p w:rsidR="004663D0" w:rsidRPr="00BD0588" w:rsidRDefault="004663D0" w:rsidP="004663D0">
      <w:pPr>
        <w:spacing w:after="0" w:line="480" w:lineRule="auto"/>
        <w:jc w:val="center"/>
        <w:rPr>
          <w:i/>
        </w:rPr>
      </w:pPr>
      <w:r w:rsidRPr="00BD0588">
        <w:rPr>
          <w:i/>
          <w:vertAlign w:val="superscript"/>
        </w:rPr>
        <w:t>1</w:t>
      </w:r>
      <w:r w:rsidRPr="00BD0588">
        <w:rPr>
          <w:i/>
        </w:rPr>
        <w:t xml:space="preserve"> Université de Lorraine, </w:t>
      </w:r>
      <w:proofErr w:type="spellStart"/>
      <w:r w:rsidRPr="00BD0588">
        <w:rPr>
          <w:i/>
          <w:iCs/>
          <w:lang w:val="nl-NL"/>
        </w:rPr>
        <w:t>Laboratoire</w:t>
      </w:r>
      <w:proofErr w:type="spellEnd"/>
      <w:r w:rsidRPr="00BD0588">
        <w:rPr>
          <w:i/>
          <w:iCs/>
          <w:lang w:val="nl-NL"/>
        </w:rPr>
        <w:t xml:space="preserve"> de </w:t>
      </w:r>
      <w:proofErr w:type="spellStart"/>
      <w:r w:rsidRPr="00BD0588">
        <w:rPr>
          <w:i/>
          <w:iCs/>
          <w:lang w:val="nl-NL"/>
        </w:rPr>
        <w:t>Chimie</w:t>
      </w:r>
      <w:proofErr w:type="spellEnd"/>
      <w:r w:rsidRPr="00BD0588">
        <w:rPr>
          <w:i/>
          <w:iCs/>
          <w:lang w:val="nl-NL"/>
        </w:rPr>
        <w:t xml:space="preserve"> </w:t>
      </w:r>
      <w:proofErr w:type="spellStart"/>
      <w:r w:rsidRPr="00BD0588">
        <w:rPr>
          <w:i/>
          <w:iCs/>
          <w:lang w:val="nl-NL"/>
        </w:rPr>
        <w:t>Physique</w:t>
      </w:r>
      <w:proofErr w:type="spellEnd"/>
      <w:r w:rsidRPr="00BD0588">
        <w:rPr>
          <w:i/>
          <w:iCs/>
          <w:lang w:val="nl-NL"/>
        </w:rPr>
        <w:t xml:space="preserve"> et Microbiologie </w:t>
      </w:r>
      <w:proofErr w:type="spellStart"/>
      <w:r w:rsidRPr="00BD0588">
        <w:rPr>
          <w:i/>
          <w:iCs/>
          <w:lang w:val="nl-NL"/>
        </w:rPr>
        <w:t>pour</w:t>
      </w:r>
      <w:proofErr w:type="spellEnd"/>
      <w:r w:rsidRPr="00BD0588">
        <w:rPr>
          <w:i/>
          <w:iCs/>
          <w:lang w:val="nl-NL"/>
        </w:rPr>
        <w:t xml:space="preserve"> </w:t>
      </w:r>
      <w:proofErr w:type="spellStart"/>
      <w:r w:rsidRPr="00BD0588">
        <w:rPr>
          <w:i/>
          <w:iCs/>
          <w:lang w:val="nl-NL"/>
        </w:rPr>
        <w:t>l’Environnement</w:t>
      </w:r>
      <w:proofErr w:type="spellEnd"/>
      <w:r w:rsidRPr="00BD0588">
        <w:rPr>
          <w:i/>
          <w:iCs/>
          <w:lang w:val="nl-NL"/>
        </w:rPr>
        <w:t xml:space="preserve"> (LCPME), UMR 7564, 405 </w:t>
      </w:r>
      <w:proofErr w:type="spellStart"/>
      <w:r w:rsidRPr="00BD0588">
        <w:rPr>
          <w:i/>
          <w:iCs/>
          <w:lang w:val="nl-NL"/>
        </w:rPr>
        <w:t>rue</w:t>
      </w:r>
      <w:proofErr w:type="spellEnd"/>
      <w:r w:rsidRPr="00BD0588">
        <w:rPr>
          <w:i/>
          <w:iCs/>
          <w:lang w:val="nl-NL"/>
        </w:rPr>
        <w:t xml:space="preserve"> de </w:t>
      </w:r>
      <w:proofErr w:type="spellStart"/>
      <w:r w:rsidRPr="00BD0588">
        <w:rPr>
          <w:i/>
          <w:iCs/>
          <w:lang w:val="nl-NL"/>
        </w:rPr>
        <w:t>Vand</w:t>
      </w:r>
      <w:proofErr w:type="spellEnd"/>
      <w:r w:rsidRPr="00BD0588">
        <w:rPr>
          <w:i/>
          <w:iCs/>
        </w:rPr>
        <w:t>œ</w:t>
      </w:r>
      <w:proofErr w:type="spellStart"/>
      <w:r w:rsidRPr="00BD0588">
        <w:rPr>
          <w:i/>
          <w:iCs/>
          <w:lang w:val="nl-NL"/>
        </w:rPr>
        <w:t>uvre</w:t>
      </w:r>
      <w:proofErr w:type="spellEnd"/>
      <w:r w:rsidRPr="00BD0588">
        <w:rPr>
          <w:i/>
          <w:iCs/>
          <w:lang w:val="nl-NL"/>
        </w:rPr>
        <w:t>, F-54600</w:t>
      </w:r>
      <w:r>
        <w:rPr>
          <w:i/>
          <w:iCs/>
          <w:lang w:val="nl-NL"/>
        </w:rPr>
        <w:t xml:space="preserve"> </w:t>
      </w:r>
      <w:proofErr w:type="spellStart"/>
      <w:r w:rsidRPr="00BD0588">
        <w:rPr>
          <w:i/>
          <w:iCs/>
          <w:lang w:val="nl-NL"/>
        </w:rPr>
        <w:t>Villers-lès-Nancy</w:t>
      </w:r>
      <w:proofErr w:type="spellEnd"/>
      <w:r w:rsidRPr="00BD0588">
        <w:rPr>
          <w:i/>
          <w:iCs/>
          <w:lang w:val="nl-NL"/>
        </w:rPr>
        <w:t>, France.</w:t>
      </w:r>
    </w:p>
    <w:p w:rsidR="004663D0" w:rsidRPr="00BD0588" w:rsidRDefault="004663D0" w:rsidP="004663D0">
      <w:pPr>
        <w:spacing w:after="0" w:line="480" w:lineRule="auto"/>
        <w:jc w:val="center"/>
        <w:rPr>
          <w:i/>
        </w:rPr>
      </w:pPr>
      <w:r>
        <w:rPr>
          <w:i/>
          <w:vertAlign w:val="superscript"/>
        </w:rPr>
        <w:t>2</w:t>
      </w:r>
      <w:r w:rsidRPr="00BD0588">
        <w:rPr>
          <w:i/>
        </w:rPr>
        <w:t xml:space="preserve"> </w:t>
      </w:r>
      <w:r>
        <w:rPr>
          <w:i/>
        </w:rPr>
        <w:t>CNRS</w:t>
      </w:r>
      <w:r w:rsidRPr="00BD0588">
        <w:rPr>
          <w:i/>
        </w:rPr>
        <w:t xml:space="preserve">, </w:t>
      </w:r>
      <w:proofErr w:type="spellStart"/>
      <w:r w:rsidRPr="00BD0588">
        <w:rPr>
          <w:i/>
          <w:iCs/>
          <w:lang w:val="nl-NL"/>
        </w:rPr>
        <w:t>Laboratoire</w:t>
      </w:r>
      <w:proofErr w:type="spellEnd"/>
      <w:r w:rsidRPr="00BD0588">
        <w:rPr>
          <w:i/>
          <w:iCs/>
          <w:lang w:val="nl-NL"/>
        </w:rPr>
        <w:t xml:space="preserve"> de </w:t>
      </w:r>
      <w:proofErr w:type="spellStart"/>
      <w:r w:rsidRPr="00BD0588">
        <w:rPr>
          <w:i/>
          <w:iCs/>
          <w:lang w:val="nl-NL"/>
        </w:rPr>
        <w:t>Chimie</w:t>
      </w:r>
      <w:proofErr w:type="spellEnd"/>
      <w:r w:rsidRPr="00BD0588">
        <w:rPr>
          <w:i/>
          <w:iCs/>
          <w:lang w:val="nl-NL"/>
        </w:rPr>
        <w:t xml:space="preserve"> </w:t>
      </w:r>
      <w:proofErr w:type="spellStart"/>
      <w:r w:rsidRPr="00BD0588">
        <w:rPr>
          <w:i/>
          <w:iCs/>
          <w:lang w:val="nl-NL"/>
        </w:rPr>
        <w:t>Physique</w:t>
      </w:r>
      <w:proofErr w:type="spellEnd"/>
      <w:r w:rsidRPr="00BD0588">
        <w:rPr>
          <w:i/>
          <w:iCs/>
          <w:lang w:val="nl-NL"/>
        </w:rPr>
        <w:t xml:space="preserve"> et Microbiologie </w:t>
      </w:r>
      <w:proofErr w:type="spellStart"/>
      <w:r w:rsidRPr="00BD0588">
        <w:rPr>
          <w:i/>
          <w:iCs/>
          <w:lang w:val="nl-NL"/>
        </w:rPr>
        <w:t>pour</w:t>
      </w:r>
      <w:proofErr w:type="spellEnd"/>
      <w:r w:rsidRPr="00BD0588">
        <w:rPr>
          <w:i/>
          <w:iCs/>
          <w:lang w:val="nl-NL"/>
        </w:rPr>
        <w:t xml:space="preserve"> </w:t>
      </w:r>
      <w:proofErr w:type="spellStart"/>
      <w:r w:rsidRPr="00BD0588">
        <w:rPr>
          <w:i/>
          <w:iCs/>
          <w:lang w:val="nl-NL"/>
        </w:rPr>
        <w:t>l’Environnement</w:t>
      </w:r>
      <w:proofErr w:type="spellEnd"/>
      <w:r w:rsidRPr="00BD0588">
        <w:rPr>
          <w:i/>
          <w:iCs/>
          <w:lang w:val="nl-NL"/>
        </w:rPr>
        <w:t xml:space="preserve"> (LCPME), UMR 7564, 405 </w:t>
      </w:r>
      <w:proofErr w:type="spellStart"/>
      <w:proofErr w:type="gramStart"/>
      <w:r w:rsidRPr="00BD0588">
        <w:rPr>
          <w:i/>
          <w:iCs/>
          <w:lang w:val="nl-NL"/>
        </w:rPr>
        <w:t>rue</w:t>
      </w:r>
      <w:proofErr w:type="spellEnd"/>
      <w:proofErr w:type="gramEnd"/>
      <w:r w:rsidRPr="00BD0588">
        <w:rPr>
          <w:i/>
          <w:iCs/>
          <w:lang w:val="nl-NL"/>
        </w:rPr>
        <w:t xml:space="preserve"> de </w:t>
      </w:r>
      <w:proofErr w:type="spellStart"/>
      <w:r w:rsidRPr="00BD0588">
        <w:rPr>
          <w:i/>
          <w:iCs/>
          <w:lang w:val="nl-NL"/>
        </w:rPr>
        <w:t>Vand</w:t>
      </w:r>
      <w:proofErr w:type="spellEnd"/>
      <w:r w:rsidRPr="00BD0588">
        <w:rPr>
          <w:i/>
          <w:iCs/>
        </w:rPr>
        <w:t>œ</w:t>
      </w:r>
      <w:proofErr w:type="spellStart"/>
      <w:r w:rsidRPr="00BD0588">
        <w:rPr>
          <w:i/>
          <w:iCs/>
          <w:lang w:val="nl-NL"/>
        </w:rPr>
        <w:t>uvre</w:t>
      </w:r>
      <w:proofErr w:type="spellEnd"/>
      <w:r w:rsidRPr="00BD0588">
        <w:rPr>
          <w:i/>
          <w:iCs/>
          <w:lang w:val="nl-NL"/>
        </w:rPr>
        <w:t>, F-54600</w:t>
      </w:r>
      <w:r>
        <w:rPr>
          <w:i/>
          <w:iCs/>
          <w:lang w:val="nl-NL"/>
        </w:rPr>
        <w:t xml:space="preserve"> </w:t>
      </w:r>
      <w:proofErr w:type="spellStart"/>
      <w:r w:rsidRPr="00BD0588">
        <w:rPr>
          <w:i/>
          <w:iCs/>
          <w:lang w:val="nl-NL"/>
        </w:rPr>
        <w:t>Villers-lès-Nancy</w:t>
      </w:r>
      <w:proofErr w:type="spellEnd"/>
      <w:r w:rsidRPr="00BD0588">
        <w:rPr>
          <w:i/>
          <w:iCs/>
          <w:lang w:val="nl-NL"/>
        </w:rPr>
        <w:t>, France.</w:t>
      </w:r>
    </w:p>
    <w:p w:rsidR="004663D0" w:rsidRDefault="004663D0" w:rsidP="004663D0">
      <w:pPr>
        <w:spacing w:after="0" w:line="480" w:lineRule="auto"/>
        <w:jc w:val="center"/>
        <w:rPr>
          <w:i/>
        </w:rPr>
      </w:pPr>
      <w:r>
        <w:rPr>
          <w:i/>
          <w:vertAlign w:val="superscript"/>
        </w:rPr>
        <w:t>3</w:t>
      </w:r>
      <w:r w:rsidRPr="00BD0588">
        <w:rPr>
          <w:i/>
        </w:rPr>
        <w:t xml:space="preserve"> </w:t>
      </w:r>
      <w:r w:rsidRPr="00BF3D57">
        <w:rPr>
          <w:i/>
        </w:rPr>
        <w:t>Ecole Nationale Supérieure de Chimie de Rennes</w:t>
      </w:r>
      <w:r>
        <w:rPr>
          <w:i/>
        </w:rPr>
        <w:t>,</w:t>
      </w:r>
      <w:r w:rsidRPr="00BF3D57">
        <w:rPr>
          <w:i/>
        </w:rPr>
        <w:t xml:space="preserve"> UMR CNRS 6226,</w:t>
      </w:r>
      <w:r>
        <w:rPr>
          <w:i/>
        </w:rPr>
        <w:t xml:space="preserve"> </w:t>
      </w:r>
      <w:r w:rsidRPr="00743AA4">
        <w:rPr>
          <w:i/>
        </w:rPr>
        <w:t xml:space="preserve">11 Allée de Beaulieu, </w:t>
      </w:r>
      <w:r w:rsidRPr="00BF3D57">
        <w:rPr>
          <w:i/>
        </w:rPr>
        <w:t>CS 50837, F-35708 R</w:t>
      </w:r>
      <w:r>
        <w:rPr>
          <w:i/>
        </w:rPr>
        <w:t>ennes c</w:t>
      </w:r>
      <w:r w:rsidRPr="00BF3D57">
        <w:rPr>
          <w:i/>
        </w:rPr>
        <w:t>edex 7, France</w:t>
      </w:r>
    </w:p>
    <w:p w:rsidR="004663D0" w:rsidRPr="00743AA4" w:rsidRDefault="004663D0" w:rsidP="004663D0">
      <w:pPr>
        <w:spacing w:after="0" w:line="480" w:lineRule="auto"/>
        <w:jc w:val="center"/>
        <w:rPr>
          <w:i/>
        </w:rPr>
      </w:pPr>
      <w:r>
        <w:rPr>
          <w:i/>
          <w:vertAlign w:val="superscript"/>
        </w:rPr>
        <w:t xml:space="preserve">4 </w:t>
      </w:r>
      <w:r w:rsidRPr="00743AA4">
        <w:rPr>
          <w:i/>
        </w:rPr>
        <w:t xml:space="preserve">Université Européenne de Bretagne, </w:t>
      </w:r>
      <w:r w:rsidR="00DF0609">
        <w:rPr>
          <w:i/>
        </w:rPr>
        <w:t>4</w:t>
      </w:r>
      <w:r w:rsidR="00344814">
        <w:rPr>
          <w:i/>
        </w:rPr>
        <w:t>,</w:t>
      </w:r>
      <w:r w:rsidR="00DF0609">
        <w:rPr>
          <w:i/>
        </w:rPr>
        <w:t xml:space="preserve"> B</w:t>
      </w:r>
      <w:r w:rsidR="00344814">
        <w:rPr>
          <w:i/>
        </w:rPr>
        <w:t>oulevar</w:t>
      </w:r>
      <w:r w:rsidR="00DF0609">
        <w:rPr>
          <w:i/>
        </w:rPr>
        <w:t xml:space="preserve">d Laennec, </w:t>
      </w:r>
      <w:r w:rsidR="007B2426">
        <w:rPr>
          <w:i/>
        </w:rPr>
        <w:t>F-</w:t>
      </w:r>
      <w:r w:rsidR="00DF0609">
        <w:rPr>
          <w:i/>
        </w:rPr>
        <w:t xml:space="preserve">35700 Rennes, </w:t>
      </w:r>
      <w:r w:rsidRPr="00743AA4">
        <w:rPr>
          <w:i/>
        </w:rPr>
        <w:t>France.</w:t>
      </w:r>
    </w:p>
    <w:p w:rsidR="004663D0" w:rsidRPr="00BD0588" w:rsidRDefault="004663D0" w:rsidP="004663D0">
      <w:pPr>
        <w:spacing w:after="0" w:line="480" w:lineRule="auto"/>
        <w:rPr>
          <w:sz w:val="24"/>
          <w:szCs w:val="24"/>
        </w:rPr>
      </w:pPr>
    </w:p>
    <w:p w:rsidR="004663D0" w:rsidRPr="00BD0588" w:rsidRDefault="004663D0" w:rsidP="004663D0">
      <w:pPr>
        <w:spacing w:after="0" w:line="480" w:lineRule="auto"/>
        <w:rPr>
          <w:sz w:val="24"/>
          <w:szCs w:val="24"/>
        </w:rPr>
      </w:pPr>
    </w:p>
    <w:p w:rsidR="004663D0" w:rsidRPr="00BD0588" w:rsidRDefault="004663D0" w:rsidP="004663D0">
      <w:pPr>
        <w:spacing w:after="0" w:line="480" w:lineRule="auto"/>
        <w:rPr>
          <w:sz w:val="24"/>
          <w:szCs w:val="24"/>
        </w:rPr>
      </w:pPr>
    </w:p>
    <w:p w:rsidR="004663D0" w:rsidRPr="00D45A74" w:rsidRDefault="004663D0" w:rsidP="004663D0">
      <w:pPr>
        <w:spacing w:line="360" w:lineRule="auto"/>
        <w:rPr>
          <w:lang w:val="en-US"/>
        </w:rPr>
      </w:pPr>
      <w:r w:rsidRPr="00D45A74">
        <w:rPr>
          <w:lang w:val="en-US"/>
        </w:rPr>
        <w:t>* C</w:t>
      </w:r>
      <w:r>
        <w:rPr>
          <w:lang w:val="en-US"/>
        </w:rPr>
        <w:t>orresponding author. Tel.: +33 (0)3</w:t>
      </w:r>
      <w:r w:rsidRPr="00D45A74">
        <w:rPr>
          <w:lang w:val="en-US"/>
        </w:rPr>
        <w:t xml:space="preserve"> </w:t>
      </w:r>
      <w:r>
        <w:rPr>
          <w:lang w:val="en-US"/>
        </w:rPr>
        <w:t>83 68 52 53; fax: +33 (0)3</w:t>
      </w:r>
      <w:r w:rsidRPr="00D45A74">
        <w:rPr>
          <w:lang w:val="en-US"/>
        </w:rPr>
        <w:t xml:space="preserve"> </w:t>
      </w:r>
      <w:r>
        <w:rPr>
          <w:lang w:val="en-US"/>
        </w:rPr>
        <w:t>83 27 54 44</w:t>
      </w:r>
    </w:p>
    <w:p w:rsidR="004663D0" w:rsidRPr="00171E18" w:rsidRDefault="004663D0" w:rsidP="004663D0">
      <w:pPr>
        <w:spacing w:line="360" w:lineRule="auto"/>
        <w:rPr>
          <w:iCs/>
          <w:lang w:val="en-US"/>
        </w:rPr>
      </w:pPr>
      <w:r w:rsidRPr="00171E18">
        <w:rPr>
          <w:i/>
          <w:iCs/>
          <w:lang w:val="en-US"/>
        </w:rPr>
        <w:t xml:space="preserve">E-mail address: </w:t>
      </w:r>
      <w:r>
        <w:rPr>
          <w:iCs/>
          <w:lang w:val="en-US"/>
        </w:rPr>
        <w:t>christian.ruby@univ-lorraine.fr</w:t>
      </w:r>
    </w:p>
    <w:p w:rsidR="00A63433" w:rsidRDefault="00A63433" w:rsidP="00A745E5">
      <w:pPr>
        <w:spacing w:after="0" w:line="480" w:lineRule="auto"/>
        <w:jc w:val="both"/>
        <w:rPr>
          <w:sz w:val="24"/>
          <w:szCs w:val="24"/>
          <w:lang w:val="en-US"/>
        </w:rPr>
      </w:pPr>
    </w:p>
    <w:p w:rsidR="00A63433" w:rsidRDefault="00A63433" w:rsidP="00A745E5">
      <w:pPr>
        <w:spacing w:after="0" w:line="480" w:lineRule="auto"/>
        <w:jc w:val="both"/>
        <w:rPr>
          <w:sz w:val="24"/>
          <w:szCs w:val="24"/>
          <w:lang w:val="en-US"/>
        </w:rPr>
      </w:pPr>
    </w:p>
    <w:p w:rsidR="00A63433" w:rsidRDefault="00A63433" w:rsidP="00A745E5">
      <w:pPr>
        <w:spacing w:after="0" w:line="480" w:lineRule="auto"/>
        <w:jc w:val="both"/>
        <w:rPr>
          <w:sz w:val="24"/>
          <w:szCs w:val="24"/>
          <w:lang w:val="en-US"/>
        </w:rPr>
      </w:pPr>
    </w:p>
    <w:p w:rsidR="00A63433" w:rsidRDefault="00A63433" w:rsidP="00A745E5">
      <w:pPr>
        <w:spacing w:after="0" w:line="480" w:lineRule="auto"/>
        <w:jc w:val="both"/>
        <w:rPr>
          <w:sz w:val="24"/>
          <w:szCs w:val="24"/>
          <w:lang w:val="en-US"/>
        </w:rPr>
      </w:pPr>
    </w:p>
    <w:p w:rsidR="00A63433" w:rsidRDefault="00A63433" w:rsidP="00A745E5">
      <w:pPr>
        <w:spacing w:after="0" w:line="480" w:lineRule="auto"/>
        <w:jc w:val="both"/>
        <w:rPr>
          <w:sz w:val="24"/>
          <w:szCs w:val="24"/>
          <w:lang w:val="en-US"/>
        </w:rPr>
        <w:sectPr w:rsidR="00A63433" w:rsidSect="00896A59">
          <w:pgSz w:w="11906" w:h="16838"/>
          <w:pgMar w:top="1417" w:right="1417" w:bottom="1417" w:left="1417" w:header="708" w:footer="708" w:gutter="0"/>
          <w:cols w:space="708"/>
          <w:docGrid w:linePitch="360"/>
        </w:sectPr>
      </w:pPr>
    </w:p>
    <w:p w:rsidR="00A63433" w:rsidRDefault="00A63433" w:rsidP="00A745E5">
      <w:pPr>
        <w:spacing w:after="0" w:line="480" w:lineRule="auto"/>
        <w:jc w:val="both"/>
        <w:rPr>
          <w:sz w:val="24"/>
          <w:szCs w:val="24"/>
          <w:lang w:val="en-US"/>
        </w:rPr>
      </w:pPr>
    </w:p>
    <w:p w:rsidR="00A745E5" w:rsidRDefault="00A745E5" w:rsidP="00ED61AE">
      <w:pPr>
        <w:spacing w:after="0" w:line="480" w:lineRule="auto"/>
        <w:jc w:val="center"/>
        <w:rPr>
          <w:sz w:val="24"/>
          <w:szCs w:val="24"/>
          <w:lang w:val="en-US"/>
        </w:rPr>
      </w:pPr>
      <w:r w:rsidRPr="00FF7C0D">
        <w:rPr>
          <w:noProof/>
          <w:szCs w:val="24"/>
          <w:lang w:eastAsia="fr-FR"/>
        </w:rPr>
        <w:drawing>
          <wp:inline distT="0" distB="0" distL="0" distR="0">
            <wp:extent cx="4681635" cy="4588002"/>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49" t="7718" r="6942" b="3777"/>
                    <a:stretch>
                      <a:fillRect/>
                    </a:stretch>
                  </pic:blipFill>
                  <pic:spPr bwMode="auto">
                    <a:xfrm>
                      <a:off x="0" y="0"/>
                      <a:ext cx="4684597" cy="4590905"/>
                    </a:xfrm>
                    <a:prstGeom prst="rect">
                      <a:avLst/>
                    </a:prstGeom>
                    <a:noFill/>
                    <a:ln w="9525">
                      <a:noFill/>
                      <a:miter lim="800000"/>
                      <a:headEnd/>
                      <a:tailEnd/>
                    </a:ln>
                  </pic:spPr>
                </pic:pic>
              </a:graphicData>
            </a:graphic>
          </wp:inline>
        </w:drawing>
      </w:r>
    </w:p>
    <w:p w:rsidR="00A745E5" w:rsidRDefault="00A745E5" w:rsidP="00C808F1">
      <w:pPr>
        <w:spacing w:after="0"/>
        <w:jc w:val="both"/>
        <w:rPr>
          <w:sz w:val="24"/>
          <w:szCs w:val="24"/>
          <w:lang w:val="en-US"/>
        </w:rPr>
      </w:pPr>
      <w:r w:rsidRPr="00E152FF">
        <w:rPr>
          <w:b/>
          <w:sz w:val="24"/>
          <w:szCs w:val="24"/>
          <w:lang w:val="en-US"/>
        </w:rPr>
        <w:t>Figure S1.</w:t>
      </w:r>
      <w:r>
        <w:rPr>
          <w:sz w:val="24"/>
          <w:szCs w:val="24"/>
          <w:lang w:val="en-US"/>
        </w:rPr>
        <w:t xml:space="preserve"> XRD patterns </w:t>
      </w:r>
      <w:r w:rsidRPr="00E152FF">
        <w:rPr>
          <w:rFonts w:cs="Times New Roman"/>
          <w:sz w:val="24"/>
          <w:szCs w:val="24"/>
          <w:lang w:val="en-US"/>
        </w:rPr>
        <w:t>(</w:t>
      </w:r>
      <w:r w:rsidRPr="00E512C3">
        <w:rPr>
          <w:rFonts w:cs="Times New Roman"/>
          <w:position w:val="-14"/>
          <w:sz w:val="24"/>
          <w:szCs w:val="24"/>
          <w:lang w:val="en-US"/>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6" o:title=""/>
          </v:shape>
          <o:OLEObject Type="Embed" ProgID="Equation.3" ShapeID="_x0000_i1025" DrawAspect="Content" ObjectID="_1486466798" r:id="rId7"/>
        </w:object>
      </w:r>
      <w:r w:rsidRPr="00E152FF">
        <w:rPr>
          <w:rFonts w:cs="Times New Roman"/>
          <w:sz w:val="24"/>
          <w:szCs w:val="24"/>
          <w:lang w:val="en-US"/>
        </w:rPr>
        <w:t>= 1.78897 Å)</w:t>
      </w:r>
      <w:r>
        <w:rPr>
          <w:sz w:val="24"/>
          <w:szCs w:val="24"/>
          <w:lang w:val="en-US"/>
        </w:rPr>
        <w:t xml:space="preserve"> of (a) pristine </w:t>
      </w:r>
      <w:proofErr w:type="spellStart"/>
      <w:r>
        <w:rPr>
          <w:sz w:val="24"/>
          <w:szCs w:val="24"/>
          <w:lang w:val="en-US"/>
        </w:rPr>
        <w:t>ferrihydrite</w:t>
      </w:r>
      <w:proofErr w:type="spellEnd"/>
      <w:r>
        <w:rPr>
          <w:sz w:val="24"/>
          <w:szCs w:val="24"/>
          <w:lang w:val="en-US"/>
        </w:rPr>
        <w:t xml:space="preserve"> and (b) supplied </w:t>
      </w:r>
      <w:proofErr w:type="spellStart"/>
      <w:r>
        <w:rPr>
          <w:sz w:val="24"/>
          <w:szCs w:val="24"/>
          <w:lang w:val="en-US"/>
        </w:rPr>
        <w:t>pozzolana</w:t>
      </w:r>
      <w:proofErr w:type="spellEnd"/>
      <w:r>
        <w:rPr>
          <w:sz w:val="24"/>
          <w:szCs w:val="24"/>
          <w:lang w:val="en-US"/>
        </w:rPr>
        <w:t>.</w:t>
      </w:r>
    </w:p>
    <w:p w:rsidR="00A745E5" w:rsidRDefault="00A745E5" w:rsidP="00A745E5">
      <w:pPr>
        <w:spacing w:after="0" w:line="480" w:lineRule="auto"/>
        <w:jc w:val="both"/>
        <w:rPr>
          <w:sz w:val="24"/>
          <w:szCs w:val="24"/>
          <w:lang w:val="en-US"/>
        </w:rPr>
      </w:pPr>
    </w:p>
    <w:p w:rsidR="00A745E5" w:rsidRDefault="00A745E5" w:rsidP="00A745E5">
      <w:pPr>
        <w:spacing w:after="0" w:line="480" w:lineRule="auto"/>
        <w:jc w:val="both"/>
        <w:rPr>
          <w:sz w:val="24"/>
          <w:szCs w:val="24"/>
          <w:lang w:val="en-US"/>
        </w:rPr>
      </w:pPr>
    </w:p>
    <w:p w:rsidR="00A745E5" w:rsidRDefault="00A745E5" w:rsidP="00A745E5">
      <w:pPr>
        <w:spacing w:after="0" w:line="480" w:lineRule="auto"/>
        <w:jc w:val="both"/>
        <w:rPr>
          <w:sz w:val="24"/>
          <w:szCs w:val="24"/>
          <w:lang w:val="en-US"/>
        </w:rPr>
      </w:pPr>
    </w:p>
    <w:p w:rsidR="00A745E5" w:rsidRDefault="00A745E5" w:rsidP="00A745E5">
      <w:pPr>
        <w:spacing w:after="0" w:line="480" w:lineRule="auto"/>
        <w:jc w:val="both"/>
        <w:rPr>
          <w:sz w:val="24"/>
          <w:szCs w:val="24"/>
          <w:lang w:val="en-US"/>
        </w:rPr>
        <w:sectPr w:rsidR="00A745E5" w:rsidSect="00896A59">
          <w:pgSz w:w="11906" w:h="16838"/>
          <w:pgMar w:top="1417" w:right="1417" w:bottom="1417" w:left="1417" w:header="708" w:footer="708" w:gutter="0"/>
          <w:cols w:space="708"/>
          <w:docGrid w:linePitch="360"/>
        </w:sectPr>
      </w:pPr>
    </w:p>
    <w:p w:rsidR="00A745E5" w:rsidRDefault="00A745E5" w:rsidP="00A745E5">
      <w:pPr>
        <w:spacing w:after="0" w:line="480" w:lineRule="auto"/>
        <w:jc w:val="both"/>
        <w:rPr>
          <w:sz w:val="24"/>
          <w:szCs w:val="24"/>
          <w:lang w:val="en-US"/>
        </w:rPr>
      </w:pPr>
    </w:p>
    <w:p w:rsidR="00E23E3D" w:rsidRDefault="00E23E3D" w:rsidP="00E23E3D">
      <w:pPr>
        <w:spacing w:after="0"/>
        <w:jc w:val="both"/>
        <w:rPr>
          <w:sz w:val="24"/>
          <w:szCs w:val="24"/>
          <w:lang w:val="en-US"/>
        </w:rPr>
      </w:pPr>
      <w:r>
        <w:rPr>
          <w:b/>
          <w:sz w:val="24"/>
          <w:szCs w:val="24"/>
          <w:lang w:val="en-US"/>
        </w:rPr>
        <w:t>Table S</w:t>
      </w:r>
      <w:r w:rsidR="000E76ED">
        <w:rPr>
          <w:b/>
          <w:sz w:val="24"/>
          <w:szCs w:val="24"/>
          <w:lang w:val="en-US"/>
        </w:rPr>
        <w:t>1</w:t>
      </w:r>
      <w:r>
        <w:rPr>
          <w:b/>
          <w:sz w:val="24"/>
          <w:szCs w:val="24"/>
          <w:lang w:val="en-US"/>
        </w:rPr>
        <w:t xml:space="preserve">. </w:t>
      </w:r>
      <w:r>
        <w:rPr>
          <w:sz w:val="24"/>
          <w:szCs w:val="24"/>
          <w:lang w:val="en-US"/>
        </w:rPr>
        <w:t>Characteristics of the five column experiments (</w:t>
      </w:r>
      <w:r w:rsidRPr="00913572">
        <w:rPr>
          <w:sz w:val="24"/>
          <w:szCs w:val="24"/>
          <w:lang w:val="en-US"/>
        </w:rPr>
        <w:t>[</w:t>
      </w:r>
      <w:r>
        <w:rPr>
          <w:sz w:val="24"/>
          <w:szCs w:val="24"/>
          <w:lang w:val="en-US"/>
        </w:rPr>
        <w:t>PO</w:t>
      </w:r>
      <w:r w:rsidRPr="00FE74C0">
        <w:rPr>
          <w:sz w:val="24"/>
          <w:szCs w:val="24"/>
          <w:vertAlign w:val="subscript"/>
          <w:lang w:val="en-US"/>
        </w:rPr>
        <w:t>4</w:t>
      </w:r>
      <w:r w:rsidRPr="00913572">
        <w:rPr>
          <w:sz w:val="24"/>
          <w:szCs w:val="24"/>
          <w:lang w:val="en-US"/>
        </w:rPr>
        <w:t>] = 1</w:t>
      </w:r>
      <w:r>
        <w:rPr>
          <w:sz w:val="24"/>
          <w:szCs w:val="24"/>
          <w:lang w:val="en-US"/>
        </w:rPr>
        <w:t>00 m</w:t>
      </w:r>
      <w:r w:rsidRPr="00913572">
        <w:rPr>
          <w:sz w:val="24"/>
          <w:szCs w:val="24"/>
          <w:lang w:val="en-US"/>
        </w:rPr>
        <w:t>g L</w:t>
      </w:r>
      <w:r>
        <w:rPr>
          <w:iCs/>
          <w:sz w:val="24"/>
          <w:szCs w:val="24"/>
          <w:vertAlign w:val="superscript"/>
          <w:lang w:val="it-IT"/>
        </w:rPr>
        <w:t>–</w:t>
      </w:r>
      <w:r w:rsidRPr="00913572">
        <w:rPr>
          <w:sz w:val="24"/>
          <w:szCs w:val="24"/>
          <w:vertAlign w:val="superscript"/>
          <w:lang w:val="en-US"/>
        </w:rPr>
        <w:t>1</w:t>
      </w:r>
      <w:r>
        <w:rPr>
          <w:sz w:val="24"/>
          <w:szCs w:val="24"/>
          <w:lang w:val="en-US"/>
        </w:rPr>
        <w:t>; [Cl</w:t>
      </w:r>
      <w:r w:rsidRPr="00501FFD">
        <w:rPr>
          <w:iCs/>
          <w:sz w:val="24"/>
          <w:szCs w:val="24"/>
          <w:vertAlign w:val="superscript"/>
          <w:lang w:val="it-IT"/>
        </w:rPr>
        <w:t>–</w:t>
      </w:r>
      <w:r>
        <w:rPr>
          <w:iCs/>
          <w:sz w:val="24"/>
          <w:szCs w:val="24"/>
          <w:lang w:val="it-IT"/>
        </w:rPr>
        <w:t>] = 0.1 M</w:t>
      </w:r>
      <w:r w:rsidRPr="00913572">
        <w:rPr>
          <w:sz w:val="24"/>
          <w:szCs w:val="24"/>
          <w:lang w:val="en-US"/>
        </w:rPr>
        <w:t>)</w:t>
      </w:r>
      <w:r>
        <w:rPr>
          <w:sz w:val="24"/>
          <w:szCs w:val="24"/>
          <w:lang w:val="en-US"/>
        </w:rPr>
        <w:t>.</w:t>
      </w:r>
    </w:p>
    <w:p w:rsidR="00E23E3D" w:rsidRPr="00E23E3D" w:rsidRDefault="00E23E3D" w:rsidP="00E23E3D">
      <w:pPr>
        <w:spacing w:after="120"/>
        <w:jc w:val="both"/>
        <w:rPr>
          <w:sz w:val="24"/>
          <w:szCs w:val="24"/>
          <w:lang w:val="en-US"/>
        </w:rPr>
      </w:pPr>
    </w:p>
    <w:tbl>
      <w:tblPr>
        <w:tblStyle w:val="Grilledutableau"/>
        <w:tblW w:w="0" w:type="auto"/>
        <w:tblBorders>
          <w:left w:val="none" w:sz="0" w:space="0" w:color="auto"/>
          <w:right w:val="none" w:sz="0" w:space="0" w:color="auto"/>
          <w:insideH w:val="none" w:sz="0" w:space="0" w:color="auto"/>
          <w:insideV w:val="none" w:sz="0" w:space="0" w:color="auto"/>
        </w:tblBorders>
        <w:tblLayout w:type="fixed"/>
        <w:tblLook w:val="04A0"/>
      </w:tblPr>
      <w:tblGrid>
        <w:gridCol w:w="2093"/>
        <w:gridCol w:w="1134"/>
        <w:gridCol w:w="1276"/>
        <w:gridCol w:w="1275"/>
        <w:gridCol w:w="1276"/>
        <w:gridCol w:w="2126"/>
      </w:tblGrid>
      <w:tr w:rsidR="00E23E3D" w:rsidRPr="00F631F2" w:rsidTr="00DE54F5">
        <w:tc>
          <w:tcPr>
            <w:tcW w:w="2093" w:type="dxa"/>
            <w:tcBorders>
              <w:top w:val="single" w:sz="4" w:space="0" w:color="auto"/>
              <w:bottom w:val="single" w:sz="4" w:space="0" w:color="auto"/>
            </w:tcBorders>
            <w:vAlign w:val="center"/>
          </w:tcPr>
          <w:p w:rsidR="00E23E3D" w:rsidRPr="00F631F2" w:rsidRDefault="00E23E3D" w:rsidP="0011782B">
            <w:pPr>
              <w:spacing w:line="360" w:lineRule="auto"/>
              <w:jc w:val="center"/>
              <w:rPr>
                <w:lang w:val="en-US"/>
              </w:rPr>
            </w:pPr>
          </w:p>
        </w:tc>
        <w:tc>
          <w:tcPr>
            <w:tcW w:w="3685" w:type="dxa"/>
            <w:gridSpan w:val="3"/>
            <w:tcBorders>
              <w:top w:val="single" w:sz="4" w:space="0" w:color="auto"/>
              <w:bottom w:val="single" w:sz="4" w:space="0" w:color="auto"/>
            </w:tcBorders>
            <w:vAlign w:val="center"/>
          </w:tcPr>
          <w:p w:rsidR="00E23E3D" w:rsidRPr="00F631F2" w:rsidRDefault="00E23E3D" w:rsidP="0011782B">
            <w:pPr>
              <w:spacing w:line="360" w:lineRule="auto"/>
              <w:jc w:val="center"/>
              <w:rPr>
                <w:lang w:val="en-US"/>
              </w:rPr>
            </w:pPr>
            <w:r w:rsidRPr="00F631F2">
              <w:rPr>
                <w:lang w:val="en-US"/>
              </w:rPr>
              <w:t>Demineralized water</w:t>
            </w:r>
          </w:p>
        </w:tc>
        <w:tc>
          <w:tcPr>
            <w:tcW w:w="1276" w:type="dxa"/>
            <w:tcBorders>
              <w:top w:val="single" w:sz="4" w:space="0" w:color="auto"/>
              <w:bottom w:val="single" w:sz="4" w:space="0" w:color="auto"/>
            </w:tcBorders>
            <w:vAlign w:val="center"/>
          </w:tcPr>
          <w:p w:rsidR="00E23E3D" w:rsidRPr="00F631F2" w:rsidRDefault="005522F1" w:rsidP="0011782B">
            <w:pPr>
              <w:spacing w:line="360" w:lineRule="auto"/>
              <w:jc w:val="center"/>
              <w:rPr>
                <w:lang w:val="en-US"/>
              </w:rPr>
            </w:pPr>
            <w:r>
              <w:rPr>
                <w:lang w:val="en-US"/>
              </w:rPr>
              <w:t>Waste</w:t>
            </w:r>
            <w:r w:rsidR="00E23E3D" w:rsidRPr="00F631F2">
              <w:rPr>
                <w:lang w:val="en-US"/>
              </w:rPr>
              <w:t>water</w:t>
            </w:r>
          </w:p>
        </w:tc>
        <w:tc>
          <w:tcPr>
            <w:tcW w:w="2126" w:type="dxa"/>
            <w:tcBorders>
              <w:top w:val="single" w:sz="4" w:space="0" w:color="auto"/>
              <w:bottom w:val="single" w:sz="4" w:space="0" w:color="auto"/>
            </w:tcBorders>
            <w:vAlign w:val="center"/>
          </w:tcPr>
          <w:p w:rsidR="00E23E3D" w:rsidRPr="00F631F2" w:rsidRDefault="00E23E3D" w:rsidP="0011782B">
            <w:pPr>
              <w:spacing w:line="360" w:lineRule="auto"/>
              <w:jc w:val="center"/>
              <w:rPr>
                <w:lang w:val="en-US"/>
              </w:rPr>
            </w:pPr>
            <w:r w:rsidRPr="00F631F2">
              <w:rPr>
                <w:lang w:val="en-US"/>
              </w:rPr>
              <w:t>Ca-doped demineralized water</w:t>
            </w:r>
          </w:p>
        </w:tc>
      </w:tr>
      <w:tr w:rsidR="00E23E3D" w:rsidRPr="007F78A4" w:rsidTr="00DE54F5">
        <w:tc>
          <w:tcPr>
            <w:tcW w:w="2093" w:type="dxa"/>
            <w:tcBorders>
              <w:top w:val="single" w:sz="4" w:space="0" w:color="auto"/>
            </w:tcBorders>
            <w:vAlign w:val="center"/>
          </w:tcPr>
          <w:p w:rsidR="00E23E3D" w:rsidRPr="00F631F2" w:rsidRDefault="00E23E3D" w:rsidP="0011782B">
            <w:pPr>
              <w:spacing w:line="360" w:lineRule="auto"/>
              <w:jc w:val="center"/>
              <w:rPr>
                <w:lang w:val="en-US"/>
              </w:rPr>
            </w:pPr>
            <w:r>
              <w:rPr>
                <w:lang w:val="en-US"/>
              </w:rPr>
              <w:t>Flow rate</w:t>
            </w:r>
            <w:r>
              <w:rPr>
                <w:lang w:val="en-US"/>
              </w:rPr>
              <w:br/>
            </w:r>
            <w:r w:rsidRPr="00F631F2">
              <w:rPr>
                <w:lang w:val="en-US"/>
              </w:rPr>
              <w:t>(</w:t>
            </w:r>
            <w:r w:rsidRPr="007F78A4">
              <w:rPr>
                <w:i/>
                <w:lang w:val="en-US"/>
              </w:rPr>
              <w:t>Q</w:t>
            </w:r>
            <w:r>
              <w:rPr>
                <w:lang w:val="en-US"/>
              </w:rPr>
              <w:t xml:space="preserve">, </w:t>
            </w:r>
            <w:r w:rsidRPr="00F631F2">
              <w:rPr>
                <w:lang w:val="en-US"/>
              </w:rPr>
              <w:t>mL min</w:t>
            </w:r>
            <w:r w:rsidRPr="00CF4EE1">
              <w:rPr>
                <w:iCs/>
                <w:vertAlign w:val="superscript"/>
                <w:lang w:val="it-IT"/>
              </w:rPr>
              <w:t>–</w:t>
            </w:r>
            <w:r w:rsidRPr="00F631F2">
              <w:rPr>
                <w:vertAlign w:val="superscript"/>
                <w:lang w:val="en-US"/>
              </w:rPr>
              <w:t>1</w:t>
            </w:r>
            <w:r w:rsidRPr="00F631F2">
              <w:rPr>
                <w:lang w:val="en-US"/>
              </w:rPr>
              <w:t>)</w:t>
            </w:r>
          </w:p>
        </w:tc>
        <w:tc>
          <w:tcPr>
            <w:tcW w:w="1134" w:type="dxa"/>
            <w:tcBorders>
              <w:top w:val="single" w:sz="4" w:space="0" w:color="auto"/>
            </w:tcBorders>
            <w:vAlign w:val="center"/>
          </w:tcPr>
          <w:p w:rsidR="00E23E3D" w:rsidRPr="00F631F2" w:rsidRDefault="00E23E3D" w:rsidP="0011782B">
            <w:pPr>
              <w:spacing w:line="360" w:lineRule="auto"/>
              <w:jc w:val="center"/>
              <w:rPr>
                <w:lang w:val="en-US"/>
              </w:rPr>
            </w:pPr>
            <w:r w:rsidRPr="00F631F2">
              <w:rPr>
                <w:lang w:val="en-US"/>
              </w:rPr>
              <w:t>1</w:t>
            </w:r>
          </w:p>
        </w:tc>
        <w:tc>
          <w:tcPr>
            <w:tcW w:w="1276" w:type="dxa"/>
            <w:tcBorders>
              <w:top w:val="single" w:sz="4" w:space="0" w:color="auto"/>
            </w:tcBorders>
            <w:vAlign w:val="center"/>
          </w:tcPr>
          <w:p w:rsidR="00E23E3D" w:rsidRPr="00F631F2" w:rsidRDefault="00E23E3D" w:rsidP="0011782B">
            <w:pPr>
              <w:spacing w:line="360" w:lineRule="auto"/>
              <w:jc w:val="center"/>
              <w:rPr>
                <w:lang w:val="en-US"/>
              </w:rPr>
            </w:pPr>
            <w:r w:rsidRPr="00F631F2">
              <w:rPr>
                <w:lang w:val="en-US"/>
              </w:rPr>
              <w:t>0.5</w:t>
            </w:r>
          </w:p>
        </w:tc>
        <w:tc>
          <w:tcPr>
            <w:tcW w:w="1275" w:type="dxa"/>
            <w:tcBorders>
              <w:top w:val="single" w:sz="4" w:space="0" w:color="auto"/>
            </w:tcBorders>
            <w:vAlign w:val="center"/>
          </w:tcPr>
          <w:p w:rsidR="00E23E3D" w:rsidRPr="00F631F2" w:rsidRDefault="00E23E3D" w:rsidP="0011782B">
            <w:pPr>
              <w:spacing w:line="360" w:lineRule="auto"/>
              <w:jc w:val="center"/>
              <w:rPr>
                <w:lang w:val="en-US"/>
              </w:rPr>
            </w:pPr>
            <w:r w:rsidRPr="00F631F2">
              <w:rPr>
                <w:lang w:val="en-US"/>
              </w:rPr>
              <w:t>0.1</w:t>
            </w:r>
          </w:p>
        </w:tc>
        <w:tc>
          <w:tcPr>
            <w:tcW w:w="1276" w:type="dxa"/>
            <w:tcBorders>
              <w:top w:val="single" w:sz="4" w:space="0" w:color="auto"/>
            </w:tcBorders>
            <w:vAlign w:val="center"/>
          </w:tcPr>
          <w:p w:rsidR="00E23E3D" w:rsidRPr="00F631F2" w:rsidRDefault="00E23E3D" w:rsidP="0011782B">
            <w:pPr>
              <w:spacing w:line="360" w:lineRule="auto"/>
              <w:jc w:val="center"/>
              <w:rPr>
                <w:lang w:val="en-US"/>
              </w:rPr>
            </w:pPr>
            <w:r w:rsidRPr="00F631F2">
              <w:rPr>
                <w:lang w:val="en-US"/>
              </w:rPr>
              <w:t>0.5</w:t>
            </w:r>
          </w:p>
        </w:tc>
        <w:tc>
          <w:tcPr>
            <w:tcW w:w="2126" w:type="dxa"/>
            <w:tcBorders>
              <w:top w:val="single" w:sz="4" w:space="0" w:color="auto"/>
            </w:tcBorders>
            <w:vAlign w:val="center"/>
          </w:tcPr>
          <w:p w:rsidR="00E23E3D" w:rsidRPr="00F631F2" w:rsidRDefault="00E23E3D" w:rsidP="0011782B">
            <w:pPr>
              <w:spacing w:line="360" w:lineRule="auto"/>
              <w:jc w:val="center"/>
              <w:rPr>
                <w:lang w:val="en-US"/>
              </w:rPr>
            </w:pPr>
            <w:r w:rsidRPr="00F631F2">
              <w:rPr>
                <w:lang w:val="en-US"/>
              </w:rPr>
              <w:t>0.5</w:t>
            </w:r>
          </w:p>
        </w:tc>
      </w:tr>
      <w:tr w:rsidR="00E23E3D" w:rsidRPr="007F78A4" w:rsidTr="00DE54F5">
        <w:tc>
          <w:tcPr>
            <w:tcW w:w="2093" w:type="dxa"/>
            <w:vAlign w:val="center"/>
          </w:tcPr>
          <w:p w:rsidR="00E23E3D" w:rsidRPr="00F631F2" w:rsidRDefault="00E23E3D" w:rsidP="0011782B">
            <w:pPr>
              <w:spacing w:line="360" w:lineRule="auto"/>
              <w:jc w:val="center"/>
              <w:rPr>
                <w:lang w:val="en-US"/>
              </w:rPr>
            </w:pPr>
            <w:r w:rsidRPr="00F631F2">
              <w:rPr>
                <w:lang w:val="en-US"/>
              </w:rPr>
              <w:t>Porous bed length (</w:t>
            </w:r>
            <w:r w:rsidRPr="00F631F2">
              <w:rPr>
                <w:i/>
                <w:lang w:val="en-US"/>
              </w:rPr>
              <w:t>L</w:t>
            </w:r>
            <w:r w:rsidRPr="00F631F2">
              <w:rPr>
                <w:lang w:val="en-US"/>
              </w:rPr>
              <w:t>, cm)</w:t>
            </w:r>
          </w:p>
        </w:tc>
        <w:tc>
          <w:tcPr>
            <w:tcW w:w="1134" w:type="dxa"/>
            <w:vAlign w:val="center"/>
          </w:tcPr>
          <w:p w:rsidR="00E23E3D" w:rsidRPr="00F631F2" w:rsidRDefault="00E23E3D" w:rsidP="0011782B">
            <w:pPr>
              <w:spacing w:line="360" w:lineRule="auto"/>
              <w:jc w:val="center"/>
              <w:rPr>
                <w:lang w:val="en-US"/>
              </w:rPr>
            </w:pPr>
            <w:r w:rsidRPr="00F631F2">
              <w:rPr>
                <w:lang w:val="en-US"/>
              </w:rPr>
              <w:t xml:space="preserve">11.2 </w:t>
            </w:r>
            <w:r w:rsidRPr="00F631F2">
              <w:rPr>
                <w:rFonts w:cs="Times New Roman"/>
                <w:lang w:val="en-US"/>
              </w:rPr>
              <w:t xml:space="preserve">± </w:t>
            </w:r>
            <w:r w:rsidRPr="00F631F2">
              <w:rPr>
                <w:lang w:val="en-US"/>
              </w:rPr>
              <w:t>0.1</w:t>
            </w:r>
          </w:p>
        </w:tc>
        <w:tc>
          <w:tcPr>
            <w:tcW w:w="1276" w:type="dxa"/>
            <w:vAlign w:val="center"/>
          </w:tcPr>
          <w:p w:rsidR="00E23E3D" w:rsidRPr="00F631F2" w:rsidRDefault="00E23E3D" w:rsidP="0011782B">
            <w:pPr>
              <w:spacing w:line="360" w:lineRule="auto"/>
              <w:jc w:val="center"/>
              <w:rPr>
                <w:lang w:val="en-US"/>
              </w:rPr>
            </w:pPr>
            <w:r w:rsidRPr="00F631F2">
              <w:rPr>
                <w:lang w:val="en-US"/>
              </w:rPr>
              <w:t xml:space="preserve">10.5 </w:t>
            </w:r>
            <w:r w:rsidRPr="00F631F2">
              <w:rPr>
                <w:rFonts w:cs="Times New Roman"/>
                <w:lang w:val="en-US"/>
              </w:rPr>
              <w:t>± 0.1</w:t>
            </w:r>
          </w:p>
        </w:tc>
        <w:tc>
          <w:tcPr>
            <w:tcW w:w="1275" w:type="dxa"/>
            <w:vAlign w:val="center"/>
          </w:tcPr>
          <w:p w:rsidR="00E23E3D" w:rsidRPr="00F631F2" w:rsidRDefault="00E23E3D" w:rsidP="0011782B">
            <w:pPr>
              <w:spacing w:line="360" w:lineRule="auto"/>
              <w:jc w:val="center"/>
              <w:rPr>
                <w:lang w:val="en-US"/>
              </w:rPr>
            </w:pPr>
            <w:r w:rsidRPr="00F631F2">
              <w:rPr>
                <w:lang w:val="en-US"/>
              </w:rPr>
              <w:t xml:space="preserve">10.5 </w:t>
            </w:r>
            <w:r w:rsidRPr="00F631F2">
              <w:rPr>
                <w:rFonts w:cs="Times New Roman"/>
                <w:lang w:val="en-US"/>
              </w:rPr>
              <w:t>± 0.1</w:t>
            </w:r>
          </w:p>
        </w:tc>
        <w:tc>
          <w:tcPr>
            <w:tcW w:w="1276" w:type="dxa"/>
            <w:vAlign w:val="center"/>
          </w:tcPr>
          <w:p w:rsidR="00E23E3D" w:rsidRPr="00F631F2" w:rsidRDefault="00E23E3D" w:rsidP="0011782B">
            <w:pPr>
              <w:spacing w:line="360" w:lineRule="auto"/>
              <w:jc w:val="center"/>
              <w:rPr>
                <w:lang w:val="en-US"/>
              </w:rPr>
            </w:pPr>
            <w:r w:rsidRPr="00F631F2">
              <w:rPr>
                <w:lang w:val="en-US"/>
              </w:rPr>
              <w:t xml:space="preserve">10.5 </w:t>
            </w:r>
            <w:r w:rsidRPr="00F631F2">
              <w:rPr>
                <w:rFonts w:cs="Times New Roman"/>
                <w:lang w:val="en-US"/>
              </w:rPr>
              <w:t>± 0.1</w:t>
            </w:r>
          </w:p>
        </w:tc>
        <w:tc>
          <w:tcPr>
            <w:tcW w:w="2126" w:type="dxa"/>
            <w:vAlign w:val="center"/>
          </w:tcPr>
          <w:p w:rsidR="00E23E3D" w:rsidRPr="00F631F2" w:rsidRDefault="00E23E3D" w:rsidP="0011782B">
            <w:pPr>
              <w:spacing w:line="360" w:lineRule="auto"/>
              <w:jc w:val="center"/>
              <w:rPr>
                <w:lang w:val="en-US"/>
              </w:rPr>
            </w:pPr>
            <w:r w:rsidRPr="00F631F2">
              <w:rPr>
                <w:lang w:val="en-US"/>
              </w:rPr>
              <w:t xml:space="preserve">10.5 </w:t>
            </w:r>
            <w:r w:rsidRPr="00F631F2">
              <w:rPr>
                <w:rFonts w:cs="Times New Roman"/>
                <w:lang w:val="en-US"/>
              </w:rPr>
              <w:t>± 0.1</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sidRPr="00F631F2">
              <w:rPr>
                <w:lang w:val="en-US"/>
              </w:rPr>
              <w:t>Section (</w:t>
            </w:r>
            <w:r w:rsidRPr="00F631F2">
              <w:rPr>
                <w:i/>
                <w:lang w:val="en-US"/>
              </w:rPr>
              <w:t>S</w:t>
            </w:r>
            <w:r w:rsidRPr="00F631F2">
              <w:rPr>
                <w:lang w:val="en-US"/>
              </w:rPr>
              <w:t>, cm</w:t>
            </w:r>
            <w:r w:rsidRPr="00F631F2">
              <w:rPr>
                <w:vertAlign w:val="superscript"/>
                <w:lang w:val="en-US"/>
              </w:rPr>
              <w:t>2</w:t>
            </w:r>
            <w:r w:rsidRPr="00F631F2">
              <w:rPr>
                <w:lang w:val="en-US"/>
              </w:rPr>
              <w:t>)</w:t>
            </w:r>
          </w:p>
        </w:tc>
        <w:tc>
          <w:tcPr>
            <w:tcW w:w="1134" w:type="dxa"/>
            <w:vAlign w:val="center"/>
          </w:tcPr>
          <w:p w:rsidR="00E23E3D" w:rsidRPr="00F631F2" w:rsidRDefault="00E23E3D" w:rsidP="0011782B">
            <w:pPr>
              <w:spacing w:line="360" w:lineRule="auto"/>
              <w:jc w:val="center"/>
              <w:rPr>
                <w:lang w:val="en-US"/>
              </w:rPr>
            </w:pPr>
            <w:r w:rsidRPr="00F631F2">
              <w:rPr>
                <w:lang w:val="en-US"/>
              </w:rPr>
              <w:t>5.31</w:t>
            </w:r>
          </w:p>
        </w:tc>
        <w:tc>
          <w:tcPr>
            <w:tcW w:w="1276" w:type="dxa"/>
            <w:vAlign w:val="center"/>
          </w:tcPr>
          <w:p w:rsidR="00E23E3D" w:rsidRPr="00F631F2" w:rsidRDefault="00E23E3D" w:rsidP="0011782B">
            <w:pPr>
              <w:spacing w:line="360" w:lineRule="auto"/>
              <w:jc w:val="center"/>
              <w:rPr>
                <w:lang w:val="en-US"/>
              </w:rPr>
            </w:pPr>
            <w:r w:rsidRPr="00F631F2">
              <w:rPr>
                <w:lang w:val="en-US"/>
              </w:rPr>
              <w:t>5.31</w:t>
            </w:r>
          </w:p>
        </w:tc>
        <w:tc>
          <w:tcPr>
            <w:tcW w:w="1275" w:type="dxa"/>
            <w:vAlign w:val="center"/>
          </w:tcPr>
          <w:p w:rsidR="00E23E3D" w:rsidRPr="00F631F2" w:rsidRDefault="00E23E3D" w:rsidP="0011782B">
            <w:pPr>
              <w:spacing w:line="360" w:lineRule="auto"/>
              <w:jc w:val="center"/>
              <w:rPr>
                <w:lang w:val="en-US"/>
              </w:rPr>
            </w:pPr>
            <w:r w:rsidRPr="00F631F2">
              <w:rPr>
                <w:lang w:val="en-US"/>
              </w:rPr>
              <w:t>5.31</w:t>
            </w:r>
          </w:p>
        </w:tc>
        <w:tc>
          <w:tcPr>
            <w:tcW w:w="1276" w:type="dxa"/>
            <w:vAlign w:val="center"/>
          </w:tcPr>
          <w:p w:rsidR="00E23E3D" w:rsidRPr="00F631F2" w:rsidRDefault="00E23E3D" w:rsidP="0011782B">
            <w:pPr>
              <w:spacing w:line="360" w:lineRule="auto"/>
              <w:jc w:val="center"/>
              <w:rPr>
                <w:lang w:val="en-US"/>
              </w:rPr>
            </w:pPr>
            <w:r w:rsidRPr="00F631F2">
              <w:rPr>
                <w:lang w:val="en-US"/>
              </w:rPr>
              <w:t>5.31</w:t>
            </w:r>
          </w:p>
        </w:tc>
        <w:tc>
          <w:tcPr>
            <w:tcW w:w="2126" w:type="dxa"/>
            <w:vAlign w:val="center"/>
          </w:tcPr>
          <w:p w:rsidR="00E23E3D" w:rsidRPr="00F631F2" w:rsidRDefault="00E23E3D" w:rsidP="0011782B">
            <w:pPr>
              <w:spacing w:line="360" w:lineRule="auto"/>
              <w:jc w:val="center"/>
              <w:rPr>
                <w:lang w:val="en-US"/>
              </w:rPr>
            </w:pPr>
            <w:r w:rsidRPr="00F631F2">
              <w:rPr>
                <w:lang w:val="en-US"/>
              </w:rPr>
              <w:t>5.31</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Pr>
                <w:lang w:val="en-US"/>
              </w:rPr>
              <w:t>Column volume</w:t>
            </w:r>
            <w:r>
              <w:rPr>
                <w:lang w:val="en-US"/>
              </w:rPr>
              <w:br/>
            </w:r>
            <w:r w:rsidRPr="00F631F2">
              <w:rPr>
                <w:lang w:val="en-US"/>
              </w:rPr>
              <w:t>(</w:t>
            </w:r>
            <w:proofErr w:type="spellStart"/>
            <w:r w:rsidRPr="00F631F2">
              <w:rPr>
                <w:i/>
                <w:lang w:val="en-US"/>
              </w:rPr>
              <w:t>V</w:t>
            </w:r>
            <w:r w:rsidRPr="00F631F2">
              <w:rPr>
                <w:vertAlign w:val="subscript"/>
                <w:lang w:val="en-US"/>
              </w:rPr>
              <w:t>c</w:t>
            </w:r>
            <w:proofErr w:type="spellEnd"/>
            <w:r w:rsidRPr="00F631F2">
              <w:rPr>
                <w:lang w:val="en-US"/>
              </w:rPr>
              <w:t xml:space="preserve">, </w:t>
            </w:r>
            <w:proofErr w:type="spellStart"/>
            <w:r>
              <w:rPr>
                <w:lang w:val="en-US"/>
              </w:rPr>
              <w:t>mL</w:t>
            </w:r>
            <w:proofErr w:type="spellEnd"/>
            <w:r w:rsidRPr="00F631F2">
              <w:rPr>
                <w:lang w:val="en-US"/>
              </w:rPr>
              <w:t>)</w:t>
            </w:r>
          </w:p>
        </w:tc>
        <w:tc>
          <w:tcPr>
            <w:tcW w:w="1134" w:type="dxa"/>
            <w:vAlign w:val="center"/>
          </w:tcPr>
          <w:p w:rsidR="00E23E3D" w:rsidRPr="00F631F2" w:rsidRDefault="00E23E3D" w:rsidP="0011782B">
            <w:pPr>
              <w:spacing w:line="360" w:lineRule="auto"/>
              <w:jc w:val="center"/>
              <w:rPr>
                <w:lang w:val="en-US"/>
              </w:rPr>
            </w:pPr>
            <w:r w:rsidRPr="00F631F2">
              <w:rPr>
                <w:lang w:val="en-US"/>
              </w:rPr>
              <w:t>59.47</w:t>
            </w:r>
          </w:p>
        </w:tc>
        <w:tc>
          <w:tcPr>
            <w:tcW w:w="1276" w:type="dxa"/>
            <w:vAlign w:val="center"/>
          </w:tcPr>
          <w:p w:rsidR="00E23E3D" w:rsidRPr="00F631F2" w:rsidRDefault="00E23E3D" w:rsidP="0011782B">
            <w:pPr>
              <w:spacing w:line="360" w:lineRule="auto"/>
              <w:jc w:val="center"/>
              <w:rPr>
                <w:lang w:val="en-US"/>
              </w:rPr>
            </w:pPr>
            <w:r w:rsidRPr="00F631F2">
              <w:rPr>
                <w:lang w:val="en-US"/>
              </w:rPr>
              <w:t>55.76</w:t>
            </w:r>
          </w:p>
        </w:tc>
        <w:tc>
          <w:tcPr>
            <w:tcW w:w="1275" w:type="dxa"/>
            <w:vAlign w:val="center"/>
          </w:tcPr>
          <w:p w:rsidR="00E23E3D" w:rsidRPr="00F631F2" w:rsidRDefault="00E23E3D" w:rsidP="0011782B">
            <w:pPr>
              <w:spacing w:line="360" w:lineRule="auto"/>
              <w:jc w:val="center"/>
              <w:rPr>
                <w:lang w:val="en-US"/>
              </w:rPr>
            </w:pPr>
            <w:r w:rsidRPr="00F631F2">
              <w:rPr>
                <w:lang w:val="en-US"/>
              </w:rPr>
              <w:t>55.76</w:t>
            </w:r>
          </w:p>
        </w:tc>
        <w:tc>
          <w:tcPr>
            <w:tcW w:w="1276" w:type="dxa"/>
            <w:vAlign w:val="center"/>
          </w:tcPr>
          <w:p w:rsidR="00E23E3D" w:rsidRPr="00F631F2" w:rsidRDefault="00E23E3D" w:rsidP="0011782B">
            <w:pPr>
              <w:spacing w:line="360" w:lineRule="auto"/>
              <w:jc w:val="center"/>
              <w:rPr>
                <w:lang w:val="en-US"/>
              </w:rPr>
            </w:pPr>
            <w:r w:rsidRPr="00F631F2">
              <w:rPr>
                <w:lang w:val="en-US"/>
              </w:rPr>
              <w:t>55.76</w:t>
            </w:r>
          </w:p>
        </w:tc>
        <w:tc>
          <w:tcPr>
            <w:tcW w:w="2126" w:type="dxa"/>
            <w:vAlign w:val="center"/>
          </w:tcPr>
          <w:p w:rsidR="00E23E3D" w:rsidRPr="00F631F2" w:rsidRDefault="00E23E3D" w:rsidP="0011782B">
            <w:pPr>
              <w:spacing w:line="360" w:lineRule="auto"/>
              <w:jc w:val="center"/>
              <w:rPr>
                <w:lang w:val="en-US"/>
              </w:rPr>
            </w:pPr>
            <w:r w:rsidRPr="00F631F2">
              <w:rPr>
                <w:lang w:val="en-US"/>
              </w:rPr>
              <w:t>55.76</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sidRPr="00F631F2">
              <w:rPr>
                <w:lang w:val="en-US"/>
              </w:rPr>
              <w:t>Filter material weight (</w:t>
            </w:r>
            <w:r w:rsidRPr="00F631F2">
              <w:rPr>
                <w:i/>
                <w:lang w:val="en-US"/>
              </w:rPr>
              <w:t>m</w:t>
            </w:r>
            <w:r w:rsidRPr="00F631F2">
              <w:rPr>
                <w:lang w:val="en-US"/>
              </w:rPr>
              <w:t>, g)</w:t>
            </w:r>
          </w:p>
        </w:tc>
        <w:tc>
          <w:tcPr>
            <w:tcW w:w="1134" w:type="dxa"/>
            <w:vAlign w:val="center"/>
          </w:tcPr>
          <w:p w:rsidR="00E23E3D" w:rsidRPr="00F631F2" w:rsidRDefault="00E23E3D" w:rsidP="0011782B">
            <w:pPr>
              <w:spacing w:line="360" w:lineRule="auto"/>
              <w:jc w:val="center"/>
              <w:rPr>
                <w:lang w:val="en-US"/>
              </w:rPr>
            </w:pPr>
            <w:r w:rsidRPr="00F631F2">
              <w:rPr>
                <w:lang w:val="en-US"/>
              </w:rPr>
              <w:t xml:space="preserve">55 </w:t>
            </w:r>
            <w:r w:rsidRPr="00F631F2">
              <w:rPr>
                <w:rFonts w:cs="Times New Roman"/>
                <w:lang w:val="en-US"/>
              </w:rPr>
              <w:t>± 0.1</w:t>
            </w:r>
          </w:p>
        </w:tc>
        <w:tc>
          <w:tcPr>
            <w:tcW w:w="1276" w:type="dxa"/>
            <w:vAlign w:val="center"/>
          </w:tcPr>
          <w:p w:rsidR="00E23E3D" w:rsidRPr="00F631F2" w:rsidRDefault="00E23E3D" w:rsidP="0011782B">
            <w:pPr>
              <w:spacing w:line="360" w:lineRule="auto"/>
              <w:jc w:val="center"/>
              <w:rPr>
                <w:lang w:val="en-US"/>
              </w:rPr>
            </w:pPr>
            <w:r w:rsidRPr="00F631F2">
              <w:rPr>
                <w:lang w:val="en-US"/>
              </w:rPr>
              <w:t xml:space="preserve">55 </w:t>
            </w:r>
            <w:r w:rsidRPr="00F631F2">
              <w:rPr>
                <w:rFonts w:cs="Times New Roman"/>
                <w:lang w:val="en-US"/>
              </w:rPr>
              <w:t>± 0.1</w:t>
            </w:r>
          </w:p>
        </w:tc>
        <w:tc>
          <w:tcPr>
            <w:tcW w:w="1275" w:type="dxa"/>
            <w:vAlign w:val="center"/>
          </w:tcPr>
          <w:p w:rsidR="00E23E3D" w:rsidRPr="00F631F2" w:rsidRDefault="00E23E3D" w:rsidP="0011782B">
            <w:pPr>
              <w:spacing w:line="360" w:lineRule="auto"/>
              <w:jc w:val="center"/>
              <w:rPr>
                <w:lang w:val="en-US"/>
              </w:rPr>
            </w:pPr>
            <w:r w:rsidRPr="00F631F2">
              <w:rPr>
                <w:lang w:val="en-US"/>
              </w:rPr>
              <w:t xml:space="preserve">55 </w:t>
            </w:r>
            <w:r w:rsidRPr="00F631F2">
              <w:rPr>
                <w:rFonts w:cs="Times New Roman"/>
                <w:lang w:val="en-US"/>
              </w:rPr>
              <w:t>± 0.1</w:t>
            </w:r>
          </w:p>
        </w:tc>
        <w:tc>
          <w:tcPr>
            <w:tcW w:w="1276" w:type="dxa"/>
            <w:vAlign w:val="center"/>
          </w:tcPr>
          <w:p w:rsidR="00E23E3D" w:rsidRPr="00F631F2" w:rsidRDefault="00E23E3D" w:rsidP="0011782B">
            <w:pPr>
              <w:spacing w:line="360" w:lineRule="auto"/>
              <w:jc w:val="center"/>
              <w:rPr>
                <w:lang w:val="en-US"/>
              </w:rPr>
            </w:pPr>
            <w:r w:rsidRPr="00F631F2">
              <w:rPr>
                <w:lang w:val="en-US"/>
              </w:rPr>
              <w:t xml:space="preserve">55 </w:t>
            </w:r>
            <w:r w:rsidRPr="00F631F2">
              <w:rPr>
                <w:rFonts w:cs="Times New Roman"/>
                <w:lang w:val="en-US"/>
              </w:rPr>
              <w:t>± 0.1</w:t>
            </w:r>
          </w:p>
        </w:tc>
        <w:tc>
          <w:tcPr>
            <w:tcW w:w="2126" w:type="dxa"/>
            <w:vAlign w:val="center"/>
          </w:tcPr>
          <w:p w:rsidR="00E23E3D" w:rsidRPr="00F631F2" w:rsidRDefault="00E23E3D" w:rsidP="0011782B">
            <w:pPr>
              <w:spacing w:line="360" w:lineRule="auto"/>
              <w:jc w:val="center"/>
              <w:rPr>
                <w:lang w:val="en-US"/>
              </w:rPr>
            </w:pPr>
            <w:r w:rsidRPr="00F631F2">
              <w:rPr>
                <w:lang w:val="en-US"/>
              </w:rPr>
              <w:t xml:space="preserve">55 </w:t>
            </w:r>
            <w:r w:rsidRPr="00F631F2">
              <w:rPr>
                <w:rFonts w:cs="Times New Roman"/>
                <w:lang w:val="en-US"/>
              </w:rPr>
              <w:t>± 0.1</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Pr>
                <w:lang w:val="en-US"/>
              </w:rPr>
              <w:t>Bulk density</w:t>
            </w:r>
            <w:r>
              <w:rPr>
                <w:lang w:val="en-US"/>
              </w:rPr>
              <w:br/>
            </w:r>
            <w:r w:rsidRPr="00F631F2">
              <w:rPr>
                <w:lang w:val="en-US"/>
              </w:rPr>
              <w:t>(</w:t>
            </w:r>
            <w:r w:rsidRPr="00F631F2">
              <w:rPr>
                <w:rFonts w:ascii="Symbol" w:hAnsi="Symbol"/>
                <w:i/>
                <w:lang w:val="en-US"/>
              </w:rPr>
              <w:t></w:t>
            </w:r>
            <w:r w:rsidRPr="00F631F2">
              <w:rPr>
                <w:lang w:val="en-US"/>
              </w:rPr>
              <w:t>, g cm</w:t>
            </w:r>
            <w:r w:rsidRPr="00CF4EE1">
              <w:rPr>
                <w:iCs/>
                <w:vertAlign w:val="superscript"/>
                <w:lang w:val="it-IT"/>
              </w:rPr>
              <w:t>–</w:t>
            </w:r>
            <w:r w:rsidRPr="00F631F2">
              <w:rPr>
                <w:vertAlign w:val="superscript"/>
                <w:lang w:val="en-US"/>
              </w:rPr>
              <w:t>3</w:t>
            </w:r>
            <w:r w:rsidRPr="00F631F2">
              <w:rPr>
                <w:lang w:val="en-US"/>
              </w:rPr>
              <w:t>)</w:t>
            </w:r>
          </w:p>
        </w:tc>
        <w:tc>
          <w:tcPr>
            <w:tcW w:w="1134" w:type="dxa"/>
            <w:vAlign w:val="center"/>
          </w:tcPr>
          <w:p w:rsidR="00E23E3D" w:rsidRPr="00F631F2" w:rsidRDefault="00E23E3D" w:rsidP="0011782B">
            <w:pPr>
              <w:spacing w:line="360" w:lineRule="auto"/>
              <w:jc w:val="center"/>
              <w:rPr>
                <w:lang w:val="en-US"/>
              </w:rPr>
            </w:pPr>
            <w:r w:rsidRPr="00F631F2">
              <w:rPr>
                <w:lang w:val="en-US"/>
              </w:rPr>
              <w:t>0.93</w:t>
            </w:r>
          </w:p>
        </w:tc>
        <w:tc>
          <w:tcPr>
            <w:tcW w:w="1276" w:type="dxa"/>
            <w:vAlign w:val="center"/>
          </w:tcPr>
          <w:p w:rsidR="00E23E3D" w:rsidRPr="00F631F2" w:rsidRDefault="00E23E3D" w:rsidP="0011782B">
            <w:pPr>
              <w:spacing w:line="360" w:lineRule="auto"/>
              <w:jc w:val="center"/>
              <w:rPr>
                <w:lang w:val="en-US"/>
              </w:rPr>
            </w:pPr>
            <w:r w:rsidRPr="00F631F2">
              <w:rPr>
                <w:lang w:val="en-US"/>
              </w:rPr>
              <w:t>0.99</w:t>
            </w:r>
          </w:p>
        </w:tc>
        <w:tc>
          <w:tcPr>
            <w:tcW w:w="1275" w:type="dxa"/>
            <w:vAlign w:val="center"/>
          </w:tcPr>
          <w:p w:rsidR="00E23E3D" w:rsidRPr="00F631F2" w:rsidRDefault="00E23E3D" w:rsidP="0011782B">
            <w:pPr>
              <w:spacing w:line="360" w:lineRule="auto"/>
              <w:jc w:val="center"/>
              <w:rPr>
                <w:lang w:val="en-US"/>
              </w:rPr>
            </w:pPr>
            <w:r w:rsidRPr="00F631F2">
              <w:rPr>
                <w:lang w:val="en-US"/>
              </w:rPr>
              <w:t>0.99</w:t>
            </w:r>
          </w:p>
        </w:tc>
        <w:tc>
          <w:tcPr>
            <w:tcW w:w="1276" w:type="dxa"/>
            <w:vAlign w:val="center"/>
          </w:tcPr>
          <w:p w:rsidR="00E23E3D" w:rsidRPr="00F631F2" w:rsidRDefault="00E23E3D" w:rsidP="0011782B">
            <w:pPr>
              <w:spacing w:line="360" w:lineRule="auto"/>
              <w:jc w:val="center"/>
              <w:rPr>
                <w:lang w:val="en-US"/>
              </w:rPr>
            </w:pPr>
            <w:r w:rsidRPr="00F631F2">
              <w:rPr>
                <w:lang w:val="en-US"/>
              </w:rPr>
              <w:t>0.99</w:t>
            </w:r>
          </w:p>
        </w:tc>
        <w:tc>
          <w:tcPr>
            <w:tcW w:w="2126" w:type="dxa"/>
            <w:vAlign w:val="center"/>
          </w:tcPr>
          <w:p w:rsidR="00E23E3D" w:rsidRPr="00F631F2" w:rsidRDefault="00E23E3D" w:rsidP="0011782B">
            <w:pPr>
              <w:spacing w:line="360" w:lineRule="auto"/>
              <w:jc w:val="center"/>
              <w:rPr>
                <w:lang w:val="en-US"/>
              </w:rPr>
            </w:pPr>
            <w:r w:rsidRPr="00F631F2">
              <w:rPr>
                <w:lang w:val="en-US"/>
              </w:rPr>
              <w:t>0.99</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sidRPr="00F631F2">
              <w:rPr>
                <w:lang w:val="en-US"/>
              </w:rPr>
              <w:t>Experimental pore volume (</w:t>
            </w:r>
            <w:proofErr w:type="spellStart"/>
            <w:r w:rsidRPr="00F631F2">
              <w:rPr>
                <w:i/>
                <w:lang w:val="en-US"/>
              </w:rPr>
              <w:t>V</w:t>
            </w:r>
            <w:r w:rsidRPr="00F631F2">
              <w:rPr>
                <w:vertAlign w:val="subscript"/>
                <w:lang w:val="en-US"/>
              </w:rPr>
              <w:t>p</w:t>
            </w:r>
            <w:proofErr w:type="spellEnd"/>
            <w:r w:rsidRPr="00F631F2">
              <w:rPr>
                <w:lang w:val="en-US"/>
              </w:rPr>
              <w:t xml:space="preserve">, </w:t>
            </w:r>
            <w:proofErr w:type="spellStart"/>
            <w:r w:rsidRPr="00F631F2">
              <w:rPr>
                <w:lang w:val="en-US"/>
              </w:rPr>
              <w:t>mL</w:t>
            </w:r>
            <w:proofErr w:type="spellEnd"/>
            <w:r w:rsidRPr="00F631F2">
              <w:rPr>
                <w:lang w:val="en-US"/>
              </w:rPr>
              <w:t>)</w:t>
            </w:r>
          </w:p>
        </w:tc>
        <w:tc>
          <w:tcPr>
            <w:tcW w:w="1134" w:type="dxa"/>
            <w:vAlign w:val="center"/>
          </w:tcPr>
          <w:p w:rsidR="00E23E3D" w:rsidRPr="00F631F2" w:rsidRDefault="00E23E3D" w:rsidP="0011782B">
            <w:pPr>
              <w:spacing w:line="360" w:lineRule="auto"/>
              <w:jc w:val="center"/>
              <w:rPr>
                <w:lang w:val="en-US"/>
              </w:rPr>
            </w:pPr>
            <w:r w:rsidRPr="00F631F2">
              <w:rPr>
                <w:lang w:val="en-US"/>
              </w:rPr>
              <w:t xml:space="preserve">40 </w:t>
            </w:r>
            <w:r w:rsidRPr="00F631F2">
              <w:rPr>
                <w:rFonts w:cs="Times New Roman"/>
                <w:lang w:val="en-US"/>
              </w:rPr>
              <w:t>± 0.2</w:t>
            </w:r>
          </w:p>
        </w:tc>
        <w:tc>
          <w:tcPr>
            <w:tcW w:w="1276" w:type="dxa"/>
            <w:vAlign w:val="center"/>
          </w:tcPr>
          <w:p w:rsidR="00E23E3D" w:rsidRPr="00F631F2" w:rsidRDefault="00E23E3D" w:rsidP="0011782B">
            <w:pPr>
              <w:spacing w:line="360" w:lineRule="auto"/>
              <w:jc w:val="center"/>
              <w:rPr>
                <w:lang w:val="en-US"/>
              </w:rPr>
            </w:pPr>
            <w:r w:rsidRPr="00F631F2">
              <w:rPr>
                <w:lang w:val="en-US"/>
              </w:rPr>
              <w:t xml:space="preserve">40 </w:t>
            </w:r>
            <w:r w:rsidRPr="00F631F2">
              <w:rPr>
                <w:rFonts w:cs="Times New Roman"/>
                <w:lang w:val="en-US"/>
              </w:rPr>
              <w:t>± 0.2</w:t>
            </w:r>
          </w:p>
        </w:tc>
        <w:tc>
          <w:tcPr>
            <w:tcW w:w="1275" w:type="dxa"/>
            <w:vAlign w:val="center"/>
          </w:tcPr>
          <w:p w:rsidR="00E23E3D" w:rsidRPr="00F631F2" w:rsidRDefault="00E23E3D" w:rsidP="0011782B">
            <w:pPr>
              <w:spacing w:line="360" w:lineRule="auto"/>
              <w:jc w:val="center"/>
              <w:rPr>
                <w:lang w:val="en-US"/>
              </w:rPr>
            </w:pPr>
            <w:r w:rsidRPr="00F631F2">
              <w:rPr>
                <w:lang w:val="en-US"/>
              </w:rPr>
              <w:t xml:space="preserve">40 </w:t>
            </w:r>
            <w:r w:rsidRPr="00F631F2">
              <w:rPr>
                <w:rFonts w:cs="Times New Roman"/>
                <w:lang w:val="en-US"/>
              </w:rPr>
              <w:t>± 0.2</w:t>
            </w:r>
          </w:p>
        </w:tc>
        <w:tc>
          <w:tcPr>
            <w:tcW w:w="1276" w:type="dxa"/>
            <w:vAlign w:val="center"/>
          </w:tcPr>
          <w:p w:rsidR="00E23E3D" w:rsidRPr="00F631F2" w:rsidRDefault="00E23E3D" w:rsidP="0011782B">
            <w:pPr>
              <w:spacing w:line="360" w:lineRule="auto"/>
              <w:jc w:val="center"/>
              <w:rPr>
                <w:lang w:val="en-US"/>
              </w:rPr>
            </w:pPr>
            <w:r w:rsidRPr="00F631F2">
              <w:rPr>
                <w:lang w:val="en-US"/>
              </w:rPr>
              <w:t xml:space="preserve">40 </w:t>
            </w:r>
            <w:r w:rsidRPr="00F631F2">
              <w:rPr>
                <w:rFonts w:cs="Times New Roman"/>
                <w:lang w:val="en-US"/>
              </w:rPr>
              <w:t>± 0.2</w:t>
            </w:r>
          </w:p>
        </w:tc>
        <w:tc>
          <w:tcPr>
            <w:tcW w:w="2126" w:type="dxa"/>
            <w:vAlign w:val="center"/>
          </w:tcPr>
          <w:p w:rsidR="00E23E3D" w:rsidRPr="00F631F2" w:rsidRDefault="00E23E3D" w:rsidP="0011782B">
            <w:pPr>
              <w:spacing w:line="360" w:lineRule="auto"/>
              <w:jc w:val="center"/>
              <w:rPr>
                <w:lang w:val="en-US"/>
              </w:rPr>
            </w:pPr>
            <w:r w:rsidRPr="00F631F2">
              <w:rPr>
                <w:lang w:val="en-US"/>
              </w:rPr>
              <w:t xml:space="preserve">40 </w:t>
            </w:r>
            <w:r w:rsidRPr="00F631F2">
              <w:rPr>
                <w:rFonts w:cs="Times New Roman"/>
                <w:lang w:val="en-US"/>
              </w:rPr>
              <w:t>± 0.2</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sidRPr="00F631F2">
              <w:rPr>
                <w:lang w:val="en-US"/>
              </w:rPr>
              <w:t>Porosity (</w:t>
            </w:r>
            <w:r w:rsidRPr="00F631F2">
              <w:rPr>
                <w:rFonts w:ascii="Symbol" w:hAnsi="Symbol"/>
                <w:i/>
                <w:lang w:val="en-US"/>
              </w:rPr>
              <w:t></w:t>
            </w:r>
            <w:r w:rsidRPr="00F631F2">
              <w:rPr>
                <w:lang w:val="en-US"/>
              </w:rPr>
              <w:t>, %)</w:t>
            </w:r>
          </w:p>
        </w:tc>
        <w:tc>
          <w:tcPr>
            <w:tcW w:w="1134" w:type="dxa"/>
            <w:vAlign w:val="center"/>
          </w:tcPr>
          <w:p w:rsidR="00E23E3D" w:rsidRPr="00F631F2" w:rsidRDefault="00E23E3D" w:rsidP="0011782B">
            <w:pPr>
              <w:spacing w:line="360" w:lineRule="auto"/>
              <w:jc w:val="center"/>
              <w:rPr>
                <w:lang w:val="en-US"/>
              </w:rPr>
            </w:pPr>
            <w:r w:rsidRPr="00F631F2">
              <w:rPr>
                <w:lang w:val="en-US"/>
              </w:rPr>
              <w:t>67</w:t>
            </w:r>
          </w:p>
        </w:tc>
        <w:tc>
          <w:tcPr>
            <w:tcW w:w="1276" w:type="dxa"/>
            <w:vAlign w:val="center"/>
          </w:tcPr>
          <w:p w:rsidR="00E23E3D" w:rsidRPr="00F631F2" w:rsidRDefault="00E23E3D" w:rsidP="0011782B">
            <w:pPr>
              <w:spacing w:line="360" w:lineRule="auto"/>
              <w:jc w:val="center"/>
              <w:rPr>
                <w:lang w:val="en-US"/>
              </w:rPr>
            </w:pPr>
            <w:r w:rsidRPr="00F631F2">
              <w:rPr>
                <w:lang w:val="en-US"/>
              </w:rPr>
              <w:t>72</w:t>
            </w:r>
          </w:p>
        </w:tc>
        <w:tc>
          <w:tcPr>
            <w:tcW w:w="1275" w:type="dxa"/>
            <w:vAlign w:val="center"/>
          </w:tcPr>
          <w:p w:rsidR="00E23E3D" w:rsidRPr="00F631F2" w:rsidRDefault="00E23E3D" w:rsidP="0011782B">
            <w:pPr>
              <w:spacing w:line="360" w:lineRule="auto"/>
              <w:jc w:val="center"/>
              <w:rPr>
                <w:lang w:val="en-US"/>
              </w:rPr>
            </w:pPr>
            <w:r w:rsidRPr="00F631F2">
              <w:rPr>
                <w:lang w:val="en-US"/>
              </w:rPr>
              <w:t>72</w:t>
            </w:r>
          </w:p>
        </w:tc>
        <w:tc>
          <w:tcPr>
            <w:tcW w:w="1276" w:type="dxa"/>
            <w:vAlign w:val="center"/>
          </w:tcPr>
          <w:p w:rsidR="00E23E3D" w:rsidRPr="00F631F2" w:rsidRDefault="00E23E3D" w:rsidP="0011782B">
            <w:pPr>
              <w:spacing w:line="360" w:lineRule="auto"/>
              <w:jc w:val="center"/>
              <w:rPr>
                <w:lang w:val="en-US"/>
              </w:rPr>
            </w:pPr>
            <w:r w:rsidRPr="00F631F2">
              <w:rPr>
                <w:lang w:val="en-US"/>
              </w:rPr>
              <w:t>72</w:t>
            </w:r>
          </w:p>
        </w:tc>
        <w:tc>
          <w:tcPr>
            <w:tcW w:w="2126" w:type="dxa"/>
            <w:vAlign w:val="center"/>
          </w:tcPr>
          <w:p w:rsidR="00E23E3D" w:rsidRPr="00F631F2" w:rsidRDefault="00E23E3D" w:rsidP="0011782B">
            <w:pPr>
              <w:spacing w:line="360" w:lineRule="auto"/>
              <w:jc w:val="center"/>
              <w:rPr>
                <w:lang w:val="en-US"/>
              </w:rPr>
            </w:pPr>
            <w:r w:rsidRPr="00F631F2">
              <w:rPr>
                <w:lang w:val="en-US"/>
              </w:rPr>
              <w:t>72</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Pr>
                <w:lang w:val="en-US"/>
              </w:rPr>
              <w:t>Darcy velocity</w:t>
            </w:r>
            <w:r>
              <w:rPr>
                <w:lang w:val="en-US"/>
              </w:rPr>
              <w:br/>
            </w:r>
            <w:r w:rsidRPr="00F631F2">
              <w:rPr>
                <w:lang w:val="en-US"/>
              </w:rPr>
              <w:t>(</w:t>
            </w:r>
            <w:r w:rsidRPr="00F631F2">
              <w:rPr>
                <w:i/>
                <w:lang w:val="en-US"/>
              </w:rPr>
              <w:t>q</w:t>
            </w:r>
            <w:r w:rsidRPr="00F631F2">
              <w:rPr>
                <w:lang w:val="en-US"/>
              </w:rPr>
              <w:t>, cm min</w:t>
            </w:r>
            <w:r w:rsidRPr="00CF4EE1">
              <w:rPr>
                <w:iCs/>
                <w:vertAlign w:val="superscript"/>
                <w:lang w:val="it-IT"/>
              </w:rPr>
              <w:t>–</w:t>
            </w:r>
            <w:r w:rsidRPr="00F631F2">
              <w:rPr>
                <w:vertAlign w:val="superscript"/>
                <w:lang w:val="en-US"/>
              </w:rPr>
              <w:t>1</w:t>
            </w:r>
            <w:r w:rsidRPr="00F631F2">
              <w:rPr>
                <w:lang w:val="en-US"/>
              </w:rPr>
              <w:t>)</w:t>
            </w:r>
          </w:p>
        </w:tc>
        <w:tc>
          <w:tcPr>
            <w:tcW w:w="1134" w:type="dxa"/>
            <w:vAlign w:val="center"/>
          </w:tcPr>
          <w:p w:rsidR="00E23E3D" w:rsidRPr="00F631F2" w:rsidRDefault="00E23E3D" w:rsidP="0011782B">
            <w:pPr>
              <w:spacing w:line="360" w:lineRule="auto"/>
              <w:jc w:val="center"/>
              <w:rPr>
                <w:lang w:val="en-US"/>
              </w:rPr>
            </w:pPr>
            <w:r w:rsidRPr="00F631F2">
              <w:rPr>
                <w:lang w:val="en-US"/>
              </w:rPr>
              <w:t>0.188</w:t>
            </w:r>
          </w:p>
        </w:tc>
        <w:tc>
          <w:tcPr>
            <w:tcW w:w="1276" w:type="dxa"/>
            <w:vAlign w:val="center"/>
          </w:tcPr>
          <w:p w:rsidR="00E23E3D" w:rsidRPr="00F631F2" w:rsidRDefault="00E23E3D" w:rsidP="0011782B">
            <w:pPr>
              <w:spacing w:line="360" w:lineRule="auto"/>
              <w:jc w:val="center"/>
              <w:rPr>
                <w:lang w:val="en-US"/>
              </w:rPr>
            </w:pPr>
            <w:r w:rsidRPr="00F631F2">
              <w:rPr>
                <w:lang w:val="en-US"/>
              </w:rPr>
              <w:t>0.094</w:t>
            </w:r>
          </w:p>
        </w:tc>
        <w:tc>
          <w:tcPr>
            <w:tcW w:w="1275" w:type="dxa"/>
            <w:vAlign w:val="center"/>
          </w:tcPr>
          <w:p w:rsidR="00E23E3D" w:rsidRPr="00F631F2" w:rsidRDefault="00E23E3D" w:rsidP="0011782B">
            <w:pPr>
              <w:spacing w:line="360" w:lineRule="auto"/>
              <w:jc w:val="center"/>
              <w:rPr>
                <w:lang w:val="en-US"/>
              </w:rPr>
            </w:pPr>
            <w:r w:rsidRPr="00F631F2">
              <w:rPr>
                <w:lang w:val="en-US"/>
              </w:rPr>
              <w:t>0.019</w:t>
            </w:r>
          </w:p>
        </w:tc>
        <w:tc>
          <w:tcPr>
            <w:tcW w:w="1276" w:type="dxa"/>
            <w:vAlign w:val="center"/>
          </w:tcPr>
          <w:p w:rsidR="00E23E3D" w:rsidRPr="00F631F2" w:rsidRDefault="00E23E3D" w:rsidP="0011782B">
            <w:pPr>
              <w:spacing w:line="360" w:lineRule="auto"/>
              <w:jc w:val="center"/>
              <w:rPr>
                <w:lang w:val="en-US"/>
              </w:rPr>
            </w:pPr>
            <w:r w:rsidRPr="00F631F2">
              <w:rPr>
                <w:lang w:val="en-US"/>
              </w:rPr>
              <w:t>0.094</w:t>
            </w:r>
          </w:p>
        </w:tc>
        <w:tc>
          <w:tcPr>
            <w:tcW w:w="2126" w:type="dxa"/>
            <w:vAlign w:val="center"/>
          </w:tcPr>
          <w:p w:rsidR="00E23E3D" w:rsidRPr="00F631F2" w:rsidRDefault="00E23E3D" w:rsidP="0011782B">
            <w:pPr>
              <w:spacing w:line="360" w:lineRule="auto"/>
              <w:jc w:val="center"/>
              <w:rPr>
                <w:lang w:val="en-US"/>
              </w:rPr>
            </w:pPr>
            <w:r w:rsidRPr="00F631F2">
              <w:rPr>
                <w:lang w:val="en-US"/>
              </w:rPr>
              <w:t>0.094</w:t>
            </w:r>
          </w:p>
        </w:tc>
      </w:tr>
      <w:tr w:rsidR="00E23E3D" w:rsidRPr="00F631F2" w:rsidTr="00DE54F5">
        <w:tc>
          <w:tcPr>
            <w:tcW w:w="2093" w:type="dxa"/>
            <w:vAlign w:val="center"/>
          </w:tcPr>
          <w:p w:rsidR="00E23E3D" w:rsidRPr="00F631F2" w:rsidRDefault="00E23E3D" w:rsidP="0011782B">
            <w:pPr>
              <w:spacing w:line="360" w:lineRule="auto"/>
              <w:jc w:val="center"/>
              <w:rPr>
                <w:lang w:val="en-US"/>
              </w:rPr>
            </w:pPr>
            <w:r>
              <w:rPr>
                <w:lang w:val="en-US"/>
              </w:rPr>
              <w:t>Pore-water</w:t>
            </w:r>
            <w:r w:rsidRPr="00F631F2">
              <w:rPr>
                <w:lang w:val="en-US"/>
              </w:rPr>
              <w:t xml:space="preserve"> velocity (</w:t>
            </w:r>
            <w:r w:rsidRPr="00F631F2">
              <w:rPr>
                <w:i/>
                <w:lang w:val="en-US"/>
              </w:rPr>
              <w:t>v</w:t>
            </w:r>
            <w:r w:rsidRPr="00F631F2">
              <w:rPr>
                <w:lang w:val="en-US"/>
              </w:rPr>
              <w:t xml:space="preserve"> , cm min</w:t>
            </w:r>
            <w:r w:rsidRPr="00CF4EE1">
              <w:rPr>
                <w:iCs/>
                <w:vertAlign w:val="superscript"/>
                <w:lang w:val="it-IT"/>
              </w:rPr>
              <w:t>–</w:t>
            </w:r>
            <w:r w:rsidRPr="00F631F2">
              <w:rPr>
                <w:vertAlign w:val="superscript"/>
                <w:lang w:val="en-US"/>
              </w:rPr>
              <w:t>1</w:t>
            </w:r>
            <w:r w:rsidRPr="00F631F2">
              <w:rPr>
                <w:lang w:val="en-US"/>
              </w:rPr>
              <w:t>)</w:t>
            </w:r>
          </w:p>
        </w:tc>
        <w:tc>
          <w:tcPr>
            <w:tcW w:w="1134" w:type="dxa"/>
            <w:vAlign w:val="center"/>
          </w:tcPr>
          <w:p w:rsidR="00E23E3D" w:rsidRPr="00F631F2" w:rsidRDefault="00E23E3D" w:rsidP="0011782B">
            <w:pPr>
              <w:spacing w:line="360" w:lineRule="auto"/>
              <w:jc w:val="center"/>
              <w:rPr>
                <w:lang w:val="en-US"/>
              </w:rPr>
            </w:pPr>
            <w:r w:rsidRPr="00F631F2">
              <w:rPr>
                <w:lang w:val="en-US"/>
              </w:rPr>
              <w:t>0.281</w:t>
            </w:r>
          </w:p>
        </w:tc>
        <w:tc>
          <w:tcPr>
            <w:tcW w:w="1276" w:type="dxa"/>
            <w:vAlign w:val="center"/>
          </w:tcPr>
          <w:p w:rsidR="00E23E3D" w:rsidRPr="00F631F2" w:rsidRDefault="00E23E3D" w:rsidP="0011782B">
            <w:pPr>
              <w:spacing w:line="360" w:lineRule="auto"/>
              <w:jc w:val="center"/>
              <w:rPr>
                <w:lang w:val="en-US"/>
              </w:rPr>
            </w:pPr>
            <w:r w:rsidRPr="00F631F2">
              <w:rPr>
                <w:lang w:val="en-US"/>
              </w:rPr>
              <w:t>0.131</w:t>
            </w:r>
          </w:p>
        </w:tc>
        <w:tc>
          <w:tcPr>
            <w:tcW w:w="1275" w:type="dxa"/>
            <w:vAlign w:val="center"/>
          </w:tcPr>
          <w:p w:rsidR="00E23E3D" w:rsidRPr="00F631F2" w:rsidRDefault="00E23E3D" w:rsidP="0011782B">
            <w:pPr>
              <w:spacing w:line="360" w:lineRule="auto"/>
              <w:jc w:val="center"/>
              <w:rPr>
                <w:lang w:val="en-US"/>
              </w:rPr>
            </w:pPr>
            <w:r w:rsidRPr="00F631F2">
              <w:rPr>
                <w:lang w:val="en-US"/>
              </w:rPr>
              <w:t>0.026</w:t>
            </w:r>
          </w:p>
        </w:tc>
        <w:tc>
          <w:tcPr>
            <w:tcW w:w="1276" w:type="dxa"/>
            <w:vAlign w:val="center"/>
          </w:tcPr>
          <w:p w:rsidR="00E23E3D" w:rsidRPr="00F631F2" w:rsidRDefault="00E23E3D" w:rsidP="0011782B">
            <w:pPr>
              <w:spacing w:line="360" w:lineRule="auto"/>
              <w:jc w:val="center"/>
              <w:rPr>
                <w:lang w:val="en-US"/>
              </w:rPr>
            </w:pPr>
            <w:r w:rsidRPr="00F631F2">
              <w:rPr>
                <w:lang w:val="en-US"/>
              </w:rPr>
              <w:t>0.131</w:t>
            </w:r>
          </w:p>
        </w:tc>
        <w:tc>
          <w:tcPr>
            <w:tcW w:w="2126" w:type="dxa"/>
            <w:vAlign w:val="center"/>
          </w:tcPr>
          <w:p w:rsidR="00E23E3D" w:rsidRPr="00F631F2" w:rsidRDefault="00E23E3D" w:rsidP="0011782B">
            <w:pPr>
              <w:spacing w:line="360" w:lineRule="auto"/>
              <w:jc w:val="center"/>
              <w:rPr>
                <w:lang w:val="en-US"/>
              </w:rPr>
            </w:pPr>
            <w:r w:rsidRPr="00F631F2">
              <w:rPr>
                <w:lang w:val="en-US"/>
              </w:rPr>
              <w:t>0.131</w:t>
            </w:r>
          </w:p>
        </w:tc>
      </w:tr>
    </w:tbl>
    <w:p w:rsidR="00E23E3D" w:rsidRDefault="00E23E3D" w:rsidP="00E23E3D">
      <w:pPr>
        <w:spacing w:after="0" w:line="480" w:lineRule="auto"/>
        <w:jc w:val="both"/>
        <w:rPr>
          <w:sz w:val="24"/>
          <w:szCs w:val="24"/>
          <w:lang w:val="en-US"/>
        </w:rPr>
        <w:sectPr w:rsidR="00E23E3D" w:rsidSect="00896A59">
          <w:pgSz w:w="11906" w:h="16838"/>
          <w:pgMar w:top="1417" w:right="1417" w:bottom="1417" w:left="1417" w:header="708" w:footer="708" w:gutter="0"/>
          <w:cols w:space="708"/>
          <w:docGrid w:linePitch="360"/>
        </w:sectPr>
      </w:pPr>
    </w:p>
    <w:p w:rsidR="00E23E3D" w:rsidRDefault="00D97E81" w:rsidP="007173D1">
      <w:pPr>
        <w:spacing w:after="0" w:line="480" w:lineRule="auto"/>
        <w:jc w:val="center"/>
        <w:rPr>
          <w:sz w:val="24"/>
          <w:szCs w:val="24"/>
          <w:lang w:val="en-US"/>
        </w:rPr>
      </w:pPr>
      <w:r w:rsidRPr="00D97E81">
        <w:rPr>
          <w:noProof/>
          <w:szCs w:val="24"/>
          <w:lang w:eastAsia="fr-FR"/>
        </w:rPr>
        <w:lastRenderedPageBreak/>
        <w:drawing>
          <wp:inline distT="0" distB="0" distL="0" distR="0">
            <wp:extent cx="4762500" cy="3743325"/>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5620" t="7529" r="11736"/>
                    <a:stretch>
                      <a:fillRect/>
                    </a:stretch>
                  </pic:blipFill>
                  <pic:spPr bwMode="auto">
                    <a:xfrm>
                      <a:off x="0" y="0"/>
                      <a:ext cx="4762500" cy="3743325"/>
                    </a:xfrm>
                    <a:prstGeom prst="rect">
                      <a:avLst/>
                    </a:prstGeom>
                    <a:noFill/>
                    <a:ln w="9525">
                      <a:noFill/>
                      <a:miter lim="800000"/>
                      <a:headEnd/>
                      <a:tailEnd/>
                    </a:ln>
                  </pic:spPr>
                </pic:pic>
              </a:graphicData>
            </a:graphic>
          </wp:inline>
        </w:drawing>
      </w:r>
    </w:p>
    <w:p w:rsidR="007173D1" w:rsidRPr="00291978" w:rsidRDefault="00167D5C" w:rsidP="007173D1">
      <w:pPr>
        <w:spacing w:after="0"/>
        <w:jc w:val="both"/>
        <w:rPr>
          <w:lang w:val="en-US"/>
        </w:rPr>
      </w:pPr>
      <w:r>
        <w:rPr>
          <w:b/>
          <w:sz w:val="24"/>
          <w:szCs w:val="24"/>
          <w:lang w:val="en-US"/>
        </w:rPr>
        <w:t>Figure</w:t>
      </w:r>
      <w:r w:rsidR="007173D1">
        <w:rPr>
          <w:b/>
          <w:sz w:val="24"/>
          <w:szCs w:val="24"/>
          <w:lang w:val="en-US"/>
        </w:rPr>
        <w:t xml:space="preserve"> S2</w:t>
      </w:r>
      <w:r w:rsidR="007173D1" w:rsidRPr="006928DC">
        <w:rPr>
          <w:b/>
          <w:sz w:val="24"/>
          <w:szCs w:val="24"/>
          <w:lang w:val="en-US"/>
        </w:rPr>
        <w:t>.</w:t>
      </w:r>
      <w:r w:rsidR="007173D1" w:rsidRPr="006928DC">
        <w:rPr>
          <w:sz w:val="24"/>
          <w:szCs w:val="24"/>
          <w:lang w:val="en-US"/>
        </w:rPr>
        <w:t xml:space="preserve"> </w:t>
      </w:r>
      <w:r w:rsidR="00D97E81" w:rsidRPr="00507BD7">
        <w:rPr>
          <w:sz w:val="24"/>
          <w:szCs w:val="24"/>
          <w:lang w:val="en-US"/>
        </w:rPr>
        <w:t>Breakthrough curve</w:t>
      </w:r>
      <w:r w:rsidR="007173D1" w:rsidRPr="00507BD7">
        <w:rPr>
          <w:sz w:val="24"/>
          <w:szCs w:val="24"/>
          <w:lang w:val="en-US"/>
        </w:rPr>
        <w:t xml:space="preserve"> of the bromide non reactive tracer for the fil</w:t>
      </w:r>
      <w:r w:rsidR="00FB50BB" w:rsidRPr="00507BD7">
        <w:rPr>
          <w:sz w:val="24"/>
          <w:szCs w:val="24"/>
          <w:lang w:val="en-US"/>
        </w:rPr>
        <w:t>ter material-packed columns at 0.5</w:t>
      </w:r>
      <w:r w:rsidR="007173D1" w:rsidRPr="00507BD7">
        <w:rPr>
          <w:sz w:val="24"/>
          <w:szCs w:val="24"/>
          <w:lang w:val="en-US"/>
        </w:rPr>
        <w:t xml:space="preserve"> ml min</w:t>
      </w:r>
      <w:r w:rsidR="00FD3226" w:rsidRPr="00507BD7">
        <w:rPr>
          <w:iCs/>
          <w:sz w:val="24"/>
          <w:szCs w:val="24"/>
          <w:vertAlign w:val="superscript"/>
          <w:lang w:val="it-IT"/>
        </w:rPr>
        <w:t>–</w:t>
      </w:r>
      <w:r w:rsidR="007173D1" w:rsidRPr="00507BD7">
        <w:rPr>
          <w:sz w:val="24"/>
          <w:szCs w:val="24"/>
          <w:vertAlign w:val="superscript"/>
          <w:lang w:val="en-US"/>
        </w:rPr>
        <w:t>1</w:t>
      </w:r>
      <w:r w:rsidR="007173D1" w:rsidRPr="00507BD7">
        <w:rPr>
          <w:sz w:val="24"/>
          <w:szCs w:val="24"/>
          <w:lang w:val="en-US"/>
        </w:rPr>
        <w:t xml:space="preserve"> flow rate ([Br</w:t>
      </w:r>
      <w:r w:rsidR="007173D1" w:rsidRPr="00507BD7">
        <w:rPr>
          <w:iCs/>
          <w:sz w:val="24"/>
          <w:szCs w:val="24"/>
          <w:vertAlign w:val="superscript"/>
          <w:lang w:val="it-IT"/>
        </w:rPr>
        <w:t>–</w:t>
      </w:r>
      <w:r w:rsidR="007173D1" w:rsidRPr="00507BD7">
        <w:rPr>
          <w:sz w:val="24"/>
          <w:szCs w:val="24"/>
          <w:lang w:val="en-US"/>
        </w:rPr>
        <w:t>] = 0.01 M). Symbols: experimental data; lines: CDE and MIM fitting.</w:t>
      </w:r>
    </w:p>
    <w:p w:rsidR="00A745E5" w:rsidRPr="00291978" w:rsidRDefault="00A745E5" w:rsidP="00A745E5">
      <w:pPr>
        <w:spacing w:after="0" w:line="480" w:lineRule="auto"/>
        <w:jc w:val="center"/>
        <w:rPr>
          <w:sz w:val="24"/>
          <w:szCs w:val="24"/>
          <w:lang w:val="en-US"/>
        </w:rPr>
      </w:pPr>
    </w:p>
    <w:p w:rsidR="00913129" w:rsidRPr="00913129" w:rsidRDefault="00913129" w:rsidP="00913129">
      <w:pPr>
        <w:spacing w:after="0" w:line="360" w:lineRule="auto"/>
        <w:jc w:val="both"/>
        <w:rPr>
          <w:sz w:val="24"/>
          <w:szCs w:val="24"/>
          <w:lang w:val="en-US"/>
        </w:rPr>
      </w:pPr>
      <w:r w:rsidRPr="00291978">
        <w:rPr>
          <w:sz w:val="24"/>
          <w:szCs w:val="24"/>
          <w:lang w:val="en-US"/>
        </w:rPr>
        <w:tab/>
      </w:r>
      <w:r w:rsidRPr="00913129">
        <w:rPr>
          <w:sz w:val="24"/>
          <w:szCs w:val="24"/>
          <w:lang w:val="en-US"/>
        </w:rPr>
        <w:t xml:space="preserve">Figure S2 shows the breakthrough curves of the bromide tracer obtained at </w:t>
      </w:r>
      <w:r w:rsidR="00B8128F">
        <w:rPr>
          <w:sz w:val="24"/>
          <w:szCs w:val="24"/>
          <w:lang w:val="en-US"/>
        </w:rPr>
        <w:t xml:space="preserve">0.5 </w:t>
      </w:r>
      <w:r w:rsidRPr="00913129">
        <w:rPr>
          <w:sz w:val="24"/>
          <w:szCs w:val="24"/>
          <w:lang w:val="en-US"/>
        </w:rPr>
        <w:t>ml min</w:t>
      </w:r>
      <w:r w:rsidRPr="00913129">
        <w:rPr>
          <w:sz w:val="24"/>
          <w:szCs w:val="24"/>
          <w:vertAlign w:val="superscript"/>
          <w:lang w:val="en-US"/>
        </w:rPr>
        <w:t>–1</w:t>
      </w:r>
      <w:r w:rsidRPr="00913129">
        <w:rPr>
          <w:sz w:val="24"/>
          <w:szCs w:val="24"/>
          <w:lang w:val="en-US"/>
        </w:rPr>
        <w:t xml:space="preserve">. The pulse injection of bromide produces bell shaped elution curves characterized by a slight asymmetrical shape with little tailing. Diffusion, reflected by the slight flattening, and dispersion phenomena, due to the premature breakthrough, could explain the behavior of the bromide elution. </w:t>
      </w:r>
    </w:p>
    <w:p w:rsidR="00913129" w:rsidRPr="00913129" w:rsidRDefault="00913129" w:rsidP="00913129">
      <w:pPr>
        <w:spacing w:after="0" w:line="360" w:lineRule="auto"/>
        <w:jc w:val="both"/>
        <w:rPr>
          <w:sz w:val="24"/>
          <w:szCs w:val="24"/>
          <w:lang w:val="en-US"/>
        </w:rPr>
      </w:pPr>
      <w:r w:rsidRPr="00913129">
        <w:rPr>
          <w:sz w:val="24"/>
          <w:szCs w:val="24"/>
          <w:lang w:val="en-US"/>
        </w:rPr>
        <w:tab/>
        <w:t>Modeling of experimental data was performed to determine the hydrodynamic parameters. Analyses can be done using two models, the classical Convection-Dispersion Equation (CDE) and the Mobile-Immobile Model (MIM)</w:t>
      </w:r>
      <w:r w:rsidR="00DF47D3">
        <w:rPr>
          <w:sz w:val="24"/>
          <w:szCs w:val="24"/>
          <w:lang w:val="en-US"/>
        </w:rPr>
        <w:t xml:space="preserve"> </w:t>
      </w:r>
      <w:r w:rsidR="006A73F0" w:rsidRPr="00913129">
        <w:rPr>
          <w:sz w:val="24"/>
          <w:szCs w:val="24"/>
          <w:lang w:val="en-US"/>
        </w:rPr>
        <w:fldChar w:fldCharType="begin"/>
      </w:r>
      <w:r w:rsidR="00DF47D3">
        <w:rPr>
          <w:sz w:val="24"/>
          <w:szCs w:val="24"/>
          <w:lang w:val="en-US"/>
        </w:rPr>
        <w:instrText xml:space="preserve"> ADDIN EN.CITE &lt;EndNote&gt;&lt;Cite&gt;&lt;Author&gt;Sardin&lt;/Author&gt;&lt;Year&gt;1991&lt;/Year&gt;&lt;RecNum&gt;49&lt;/RecNum&gt;&lt;DisplayText&gt;[1]&lt;/DisplayText&gt;&lt;record&gt;&lt;rec-number&gt;49&lt;/rec-number&gt;&lt;foreign-keys&gt;&lt;key app="EN" db-id="9fvxavpwe0pa0xertrkvtxvsfvtfxtwz2pxz"&gt;49&lt;/key&gt;&lt;/foreign-keys&gt;&lt;ref-type name="Journal Article"&gt;17&lt;/ref-type&gt;&lt;contributors&gt;&lt;authors&gt;&lt;author&gt;Sardin, M.&lt;/author&gt;&lt;author&gt;Schweich, D.&lt;/author&gt;&lt;author&gt;Leij, F. J.&lt;/author&gt;&lt;author&gt;van Genuchten, M. Th&lt;/author&gt;&lt;/authors&gt;&lt;/contributors&gt;&lt;titles&gt;&lt;title&gt;Modeling the nonequilibrium transport of linearly interacting solutes in porous media: A review&lt;/title&gt;&lt;secondary-title&gt;Water Resources Research&lt;/secondary-title&gt;&lt;alt-title&gt;Water Resour. Res.&lt;/alt-title&gt;&lt;/titles&gt;&lt;periodical&gt;&lt;full-title&gt;Water Resources Research&lt;/full-title&gt;&lt;/periodical&gt;&lt;pages&gt;2287-2307&lt;/pages&gt;&lt;volume&gt;27&lt;/volume&gt;&lt;number&gt;9&lt;/number&gt;&lt;dates&gt;&lt;year&gt;1991&lt;/year&gt;&lt;/dates&gt;&lt;publisher&gt;American Geophysical Union&lt;/publisher&gt;&lt;isbn&gt;0043-1397&lt;/isbn&gt;&lt;urls&gt;&lt;/urls&gt;&lt;/record&gt;&lt;/Cite&gt;&lt;Cite&gt;&lt;Author&gt;Sardin&lt;/Author&gt;&lt;Year&gt;1991&lt;/Year&gt;&lt;RecNum&gt;49&lt;/RecNum&gt;&lt;DisplayText&gt;[22]&lt;/DisplayText&gt;&lt;record&gt;&lt;rec-number&gt;49&lt;/rec-number&gt;&lt;foreign-keys&gt;&lt;key app="EN" db-id="9fvxavpwe0pa0xertrkvtxvsfvtfxtwz2pxz"&gt;49&lt;/key&gt;&lt;/foreign-keys&gt;&lt;ref-type name="Journal Article"&gt;17&lt;/ref-type&gt;&lt;contributors&gt;&lt;authors&gt;&lt;author&gt;Sardin, M.&lt;/author&gt;&lt;author&gt;Schweich, D.&lt;/author&gt;&lt;author&gt;Leij, F. J.&lt;/author&gt;&lt;author&gt;van Genuchten, M. Th&lt;/author&gt;&lt;/authors&gt;&lt;/contributors&gt;&lt;titles&gt;&lt;title&gt;Modeling the nonequilibrium transport of linearly interacting solutes in porous media: A review&lt;/title&gt;&lt;secondary-title&gt;Water Resources Research&lt;/secondary-title&gt;&lt;alt-title&gt;Water Resour. Res.&lt;/alt-title&gt;&lt;/titles&gt;&lt;periodical&gt;&lt;full-title&gt;Water Resources Research&lt;/full-title&gt;&lt;/periodical&gt;&lt;pages&gt;2287-2307&lt;/pages&gt;&lt;volume&gt;27&lt;/volume&gt;&lt;number&gt;9&lt;/number&gt;&lt;dates&gt;&lt;year&gt;1991&lt;/year&gt;&lt;/dates&gt;&lt;publisher&gt;American Geophysical Union&lt;/publisher&gt;&lt;isbn&gt;0043-1397&lt;/isbn&gt;&lt;urls&gt;&lt;/urls&gt;&lt;/record&gt;&lt;/Cite&gt;&lt;/EndNote&gt;</w:instrText>
      </w:r>
      <w:r w:rsidR="006A73F0" w:rsidRPr="00913129">
        <w:rPr>
          <w:sz w:val="24"/>
          <w:szCs w:val="24"/>
          <w:lang w:val="en-US"/>
        </w:rPr>
        <w:fldChar w:fldCharType="separate"/>
      </w:r>
      <w:r w:rsidR="00DF47D3">
        <w:rPr>
          <w:noProof/>
          <w:sz w:val="24"/>
          <w:szCs w:val="24"/>
          <w:lang w:val="en-US"/>
        </w:rPr>
        <w:t>[1]</w:t>
      </w:r>
      <w:r w:rsidR="006A73F0" w:rsidRPr="00913129">
        <w:rPr>
          <w:sz w:val="24"/>
          <w:szCs w:val="24"/>
          <w:lang w:val="en-US"/>
        </w:rPr>
        <w:fldChar w:fldCharType="end"/>
      </w:r>
      <w:r w:rsidR="00DF47D3">
        <w:rPr>
          <w:sz w:val="24"/>
          <w:szCs w:val="24"/>
          <w:lang w:val="en-US"/>
        </w:rPr>
        <w:t>.</w:t>
      </w:r>
      <w:r w:rsidRPr="00913129">
        <w:rPr>
          <w:sz w:val="24"/>
          <w:szCs w:val="24"/>
          <w:lang w:val="en-US"/>
        </w:rPr>
        <w:t xml:space="preserve"> The common assumptions to both models are a constant porosity </w:t>
      </w:r>
      <w:r w:rsidRPr="00913129">
        <w:rPr>
          <w:rFonts w:ascii="Symbol" w:hAnsi="Symbol"/>
          <w:i/>
          <w:sz w:val="24"/>
          <w:szCs w:val="24"/>
        </w:rPr>
        <w:t></w:t>
      </w:r>
      <w:r w:rsidRPr="00913129">
        <w:rPr>
          <w:sz w:val="24"/>
          <w:szCs w:val="24"/>
          <w:lang w:val="en-US"/>
        </w:rPr>
        <w:t xml:space="preserve"> over time and no chemical and/or structural material evolution, which implies a constant hydrodynamic dispersion coefficient </w:t>
      </w:r>
      <w:r w:rsidRPr="00913129">
        <w:rPr>
          <w:i/>
          <w:sz w:val="24"/>
          <w:szCs w:val="24"/>
          <w:lang w:val="en-US"/>
        </w:rPr>
        <w:t>D</w:t>
      </w:r>
      <w:r w:rsidRPr="00913129">
        <w:rPr>
          <w:sz w:val="24"/>
          <w:szCs w:val="24"/>
          <w:lang w:val="en-US"/>
        </w:rPr>
        <w:t xml:space="preserve">. </w:t>
      </w:r>
    </w:p>
    <w:p w:rsidR="00913129" w:rsidRPr="00913129" w:rsidRDefault="00913129" w:rsidP="00913129">
      <w:pPr>
        <w:spacing w:after="0" w:line="360" w:lineRule="auto"/>
        <w:jc w:val="both"/>
        <w:rPr>
          <w:sz w:val="24"/>
          <w:szCs w:val="24"/>
          <w:lang w:val="en-US"/>
        </w:rPr>
      </w:pPr>
      <w:r w:rsidRPr="00913129">
        <w:rPr>
          <w:sz w:val="24"/>
          <w:szCs w:val="24"/>
          <w:lang w:val="en-US"/>
        </w:rPr>
        <w:tab/>
        <w:t xml:space="preserve">CDE generally well describes the 1D transport of a nonreactive solute under steady flow conditions in a saturated column. Solute is transported through convection and dispersion by the whole water and then can easily reach all the particles in contact with interstitial water. In this model, the total porosity </w:t>
      </w:r>
      <w:r w:rsidRPr="00913129">
        <w:rPr>
          <w:rFonts w:ascii="Symbol" w:hAnsi="Symbol"/>
          <w:i/>
          <w:sz w:val="24"/>
          <w:szCs w:val="24"/>
        </w:rPr>
        <w:t></w:t>
      </w:r>
      <w:r w:rsidRPr="00913129">
        <w:rPr>
          <w:sz w:val="24"/>
          <w:szCs w:val="24"/>
          <w:vertAlign w:val="subscript"/>
          <w:lang w:val="en-US"/>
        </w:rPr>
        <w:t>tot</w:t>
      </w:r>
      <w:r w:rsidRPr="00913129">
        <w:rPr>
          <w:sz w:val="24"/>
          <w:szCs w:val="24"/>
          <w:lang w:val="en-US"/>
        </w:rPr>
        <w:t xml:space="preserve">, which is the volumetric water content </w:t>
      </w:r>
      <w:r w:rsidRPr="00913129">
        <w:rPr>
          <w:sz w:val="24"/>
          <w:szCs w:val="24"/>
          <w:lang w:val="en-US"/>
        </w:rPr>
        <w:lastRenderedPageBreak/>
        <w:t xml:space="preserve">inside the column, is equal to the mobile porosity </w:t>
      </w:r>
      <w:r w:rsidRPr="00913129">
        <w:rPr>
          <w:rFonts w:ascii="Symbol" w:hAnsi="Symbol"/>
          <w:i/>
          <w:sz w:val="24"/>
          <w:szCs w:val="24"/>
        </w:rPr>
        <w:t></w:t>
      </w:r>
      <w:r w:rsidRPr="00913129">
        <w:rPr>
          <w:sz w:val="24"/>
          <w:szCs w:val="24"/>
          <w:vertAlign w:val="subscript"/>
          <w:lang w:val="en-US"/>
        </w:rPr>
        <w:t>m</w:t>
      </w:r>
      <w:r w:rsidRPr="00913129">
        <w:rPr>
          <w:sz w:val="24"/>
          <w:szCs w:val="24"/>
          <w:lang w:val="en-US"/>
        </w:rPr>
        <w:t>, which means that all the water is mobile. CDE is expressed as:</w:t>
      </w:r>
    </w:p>
    <w:p w:rsidR="00913129" w:rsidRPr="00913129" w:rsidRDefault="00913129" w:rsidP="00913129">
      <w:pPr>
        <w:tabs>
          <w:tab w:val="right" w:pos="9072"/>
        </w:tabs>
        <w:spacing w:after="0" w:line="360" w:lineRule="auto"/>
        <w:jc w:val="both"/>
        <w:rPr>
          <w:sz w:val="24"/>
          <w:szCs w:val="24"/>
          <w:lang w:val="en-US"/>
        </w:rPr>
      </w:pPr>
      <w:r w:rsidRPr="00913129">
        <w:rPr>
          <w:position w:val="-26"/>
        </w:rPr>
        <w:object w:dxaOrig="2040" w:dyaOrig="700">
          <v:shape id="_x0000_i1026" type="#_x0000_t75" style="width:101.25pt;height:35.25pt" o:ole="">
            <v:imagedata r:id="rId9" o:title=""/>
          </v:shape>
          <o:OLEObject Type="Embed" ProgID="Equation.3" ShapeID="_x0000_i1026" DrawAspect="Content" ObjectID="_1486466799" r:id="rId10"/>
        </w:object>
      </w:r>
      <w:r>
        <w:rPr>
          <w:lang w:val="en-US"/>
        </w:rPr>
        <w:tab/>
        <w:t>(S1</w:t>
      </w:r>
      <w:r w:rsidRPr="00913129">
        <w:rPr>
          <w:lang w:val="en-US"/>
        </w:rPr>
        <w:t>)</w:t>
      </w:r>
    </w:p>
    <w:p w:rsidR="00913129" w:rsidRPr="00913129" w:rsidRDefault="00913129" w:rsidP="00913129">
      <w:pPr>
        <w:spacing w:after="0" w:line="360" w:lineRule="auto"/>
        <w:jc w:val="both"/>
        <w:rPr>
          <w:sz w:val="24"/>
          <w:szCs w:val="24"/>
          <w:lang w:val="en-US"/>
        </w:rPr>
      </w:pPr>
      <w:proofErr w:type="gramStart"/>
      <w:r w:rsidRPr="00913129">
        <w:rPr>
          <w:sz w:val="24"/>
          <w:szCs w:val="24"/>
          <w:lang w:val="en-US"/>
        </w:rPr>
        <w:t>where</w:t>
      </w:r>
      <w:proofErr w:type="gramEnd"/>
      <w:r w:rsidRPr="00913129">
        <w:rPr>
          <w:sz w:val="24"/>
          <w:szCs w:val="24"/>
          <w:lang w:val="en-US"/>
        </w:rPr>
        <w:t xml:space="preserve"> C is the water solute concentration (mol L</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xml:space="preserve">), </w:t>
      </w:r>
      <w:r w:rsidRPr="00913129">
        <w:rPr>
          <w:i/>
          <w:sz w:val="24"/>
          <w:szCs w:val="24"/>
          <w:lang w:val="en-US"/>
        </w:rPr>
        <w:t>t</w:t>
      </w:r>
      <w:r w:rsidRPr="00913129">
        <w:rPr>
          <w:sz w:val="24"/>
          <w:szCs w:val="24"/>
          <w:lang w:val="en-US"/>
        </w:rPr>
        <w:t xml:space="preserve"> is the time (min), </w:t>
      </w:r>
      <w:r w:rsidRPr="00913129">
        <w:rPr>
          <w:i/>
          <w:sz w:val="24"/>
          <w:szCs w:val="24"/>
          <w:lang w:val="en-US"/>
        </w:rPr>
        <w:t>z</w:t>
      </w:r>
      <w:r w:rsidRPr="00913129">
        <w:rPr>
          <w:sz w:val="24"/>
          <w:szCs w:val="24"/>
          <w:lang w:val="en-US"/>
        </w:rPr>
        <w:t xml:space="preserve"> is the spatial coordinate (cm), </w:t>
      </w:r>
      <w:r w:rsidRPr="00913129">
        <w:rPr>
          <w:i/>
          <w:sz w:val="24"/>
          <w:szCs w:val="24"/>
          <w:lang w:val="en-US"/>
        </w:rPr>
        <w:t>D</w:t>
      </w:r>
      <w:r w:rsidRPr="00913129">
        <w:rPr>
          <w:sz w:val="24"/>
          <w:szCs w:val="24"/>
          <w:lang w:val="en-US"/>
        </w:rPr>
        <w:t xml:space="preserve"> is the hydrodynamic dispersion coefficient (cm</w:t>
      </w:r>
      <w:r w:rsidRPr="00913129">
        <w:rPr>
          <w:sz w:val="24"/>
          <w:szCs w:val="24"/>
          <w:vertAlign w:val="superscript"/>
          <w:lang w:val="en-US"/>
        </w:rPr>
        <w:t>2</w:t>
      </w:r>
      <w:r w:rsidRPr="00913129">
        <w:rPr>
          <w:sz w:val="24"/>
          <w:szCs w:val="24"/>
          <w:lang w:val="en-US"/>
        </w:rPr>
        <w:t xml:space="preserve"> min</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xml:space="preserve">) and </w:t>
      </w:r>
      <w:r w:rsidRPr="00913129">
        <w:rPr>
          <w:rFonts w:ascii="Symbol" w:hAnsi="Symbol"/>
          <w:i/>
          <w:sz w:val="24"/>
          <w:szCs w:val="24"/>
          <w:lang w:val="en-US"/>
        </w:rPr>
        <w:t></w:t>
      </w:r>
      <w:r w:rsidRPr="00913129">
        <w:rPr>
          <w:sz w:val="24"/>
          <w:szCs w:val="24"/>
          <w:lang w:val="en-US"/>
        </w:rPr>
        <w:t xml:space="preserve"> the pore-water velocity (cm min</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The concentration of the nonreactive solute in the outflow was analyzed using CDE developed o</w:t>
      </w:r>
      <w:r w:rsidR="00697FAD">
        <w:rPr>
          <w:sz w:val="24"/>
          <w:szCs w:val="24"/>
          <w:lang w:val="en-US"/>
        </w:rPr>
        <w:t>n MATHCAD Professional software</w:t>
      </w:r>
      <w:r w:rsidRPr="00913129">
        <w:rPr>
          <w:sz w:val="24"/>
          <w:szCs w:val="24"/>
          <w:lang w:val="en-US"/>
        </w:rPr>
        <w:t xml:space="preserve"> to obtain the values of the hydrodynamic parameters </w:t>
      </w:r>
      <w:r w:rsidRPr="00913129">
        <w:rPr>
          <w:rFonts w:ascii="Symbol" w:hAnsi="Symbol"/>
          <w:i/>
          <w:sz w:val="24"/>
          <w:szCs w:val="24"/>
        </w:rPr>
        <w:t></w:t>
      </w:r>
      <w:r w:rsidRPr="00913129">
        <w:rPr>
          <w:sz w:val="24"/>
          <w:szCs w:val="24"/>
          <w:lang w:val="en-US"/>
        </w:rPr>
        <w:t xml:space="preserve"> and </w:t>
      </w:r>
      <w:r w:rsidRPr="00913129">
        <w:rPr>
          <w:i/>
          <w:sz w:val="24"/>
          <w:szCs w:val="24"/>
          <w:lang w:val="en-US"/>
        </w:rPr>
        <w:t>D</w:t>
      </w:r>
      <w:r w:rsidRPr="00913129">
        <w:rPr>
          <w:sz w:val="24"/>
          <w:szCs w:val="24"/>
          <w:lang w:val="en-US"/>
        </w:rPr>
        <w:t xml:space="preserve">. The macroscopic </w:t>
      </w:r>
      <w:proofErr w:type="spellStart"/>
      <w:r w:rsidRPr="00913129">
        <w:rPr>
          <w:sz w:val="24"/>
          <w:szCs w:val="24"/>
          <w:lang w:val="en-US"/>
        </w:rPr>
        <w:t>dispersivity</w:t>
      </w:r>
      <w:proofErr w:type="spellEnd"/>
      <w:r w:rsidRPr="00913129">
        <w:rPr>
          <w:sz w:val="24"/>
          <w:szCs w:val="24"/>
          <w:lang w:val="en-US"/>
        </w:rPr>
        <w:t xml:space="preserve"> </w:t>
      </w:r>
      <w:r w:rsidRPr="00913129">
        <w:rPr>
          <w:rFonts w:ascii="Symbol" w:hAnsi="Symbol"/>
          <w:i/>
          <w:sz w:val="24"/>
          <w:szCs w:val="24"/>
          <w:lang w:val="en-US"/>
        </w:rPr>
        <w:t></w:t>
      </w:r>
      <w:r w:rsidRPr="00913129">
        <w:rPr>
          <w:sz w:val="24"/>
          <w:szCs w:val="24"/>
          <w:lang w:val="en-US"/>
        </w:rPr>
        <w:t xml:space="preserve"> (cm) was calculated neglecting molecular diffusion in regards to dynamic dispersion in the studied experimental conditions:</w:t>
      </w:r>
    </w:p>
    <w:p w:rsidR="00913129" w:rsidRPr="00913129" w:rsidRDefault="00913129" w:rsidP="00913129">
      <w:pPr>
        <w:tabs>
          <w:tab w:val="right" w:pos="9072"/>
        </w:tabs>
        <w:spacing w:after="0" w:line="360" w:lineRule="auto"/>
        <w:jc w:val="both"/>
        <w:rPr>
          <w:sz w:val="24"/>
          <w:szCs w:val="24"/>
          <w:lang w:val="en-US"/>
        </w:rPr>
      </w:pPr>
      <w:r w:rsidRPr="00913129">
        <w:rPr>
          <w:position w:val="-28"/>
          <w:sz w:val="24"/>
          <w:szCs w:val="24"/>
          <w:lang w:val="en-US"/>
        </w:rPr>
        <w:object w:dxaOrig="840" w:dyaOrig="660">
          <v:shape id="_x0000_i1027" type="#_x0000_t75" style="width:42pt;height:33pt" o:ole="">
            <v:imagedata r:id="rId11" o:title=""/>
          </v:shape>
          <o:OLEObject Type="Embed" ProgID="Equation.3" ShapeID="_x0000_i1027" DrawAspect="Content" ObjectID="_1486466800" r:id="rId12"/>
        </w:object>
      </w:r>
      <w:r>
        <w:rPr>
          <w:sz w:val="24"/>
          <w:szCs w:val="24"/>
          <w:lang w:val="en-US"/>
        </w:rPr>
        <w:tab/>
        <w:t>(S2</w:t>
      </w:r>
      <w:r w:rsidRPr="00913129">
        <w:rPr>
          <w:sz w:val="24"/>
          <w:szCs w:val="24"/>
          <w:lang w:val="en-US"/>
        </w:rPr>
        <w:t>)</w:t>
      </w:r>
    </w:p>
    <w:p w:rsidR="00913129" w:rsidRPr="00913129" w:rsidRDefault="00913129" w:rsidP="00913129">
      <w:pPr>
        <w:spacing w:after="0" w:line="360" w:lineRule="auto"/>
        <w:jc w:val="both"/>
        <w:rPr>
          <w:sz w:val="24"/>
          <w:szCs w:val="24"/>
          <w:lang w:val="en-US"/>
        </w:rPr>
      </w:pPr>
      <w:r w:rsidRPr="00913129">
        <w:rPr>
          <w:sz w:val="24"/>
          <w:szCs w:val="24"/>
          <w:lang w:val="en-US"/>
        </w:rPr>
        <w:tab/>
        <w:t>The simulated curve using CDE satisfactorily fits the experimental data (Fig.</w:t>
      </w:r>
      <w:r>
        <w:rPr>
          <w:sz w:val="24"/>
          <w:szCs w:val="24"/>
          <w:lang w:val="en-US"/>
        </w:rPr>
        <w:t xml:space="preserve"> </w:t>
      </w:r>
      <w:r w:rsidRPr="00913129">
        <w:rPr>
          <w:sz w:val="24"/>
          <w:szCs w:val="24"/>
          <w:lang w:val="en-US"/>
        </w:rPr>
        <w:t>S2) experimental and theoretical breakthrough points are in relatively good agreement. The hydrodynamic parameters of the saturated col</w:t>
      </w:r>
      <w:r>
        <w:rPr>
          <w:sz w:val="24"/>
          <w:szCs w:val="24"/>
          <w:lang w:val="en-US"/>
        </w:rPr>
        <w:t>umns, deduced by applying Eq. (S</w:t>
      </w:r>
      <w:r w:rsidRPr="00913129">
        <w:rPr>
          <w:sz w:val="24"/>
          <w:szCs w:val="24"/>
          <w:lang w:val="en-US"/>
        </w:rPr>
        <w:t xml:space="preserve">1), are reported in Table S2. The macroscopic </w:t>
      </w:r>
      <w:proofErr w:type="spellStart"/>
      <w:r w:rsidRPr="00913129">
        <w:rPr>
          <w:sz w:val="24"/>
          <w:szCs w:val="24"/>
          <w:lang w:val="en-US"/>
        </w:rPr>
        <w:t>dispersivity</w:t>
      </w:r>
      <w:proofErr w:type="spellEnd"/>
      <w:r w:rsidRPr="00913129">
        <w:rPr>
          <w:sz w:val="24"/>
          <w:szCs w:val="24"/>
          <w:lang w:val="en-US"/>
        </w:rPr>
        <w:t xml:space="preserve"> </w:t>
      </w:r>
      <w:r w:rsidRPr="00913129">
        <w:rPr>
          <w:rFonts w:ascii="Symbol" w:hAnsi="Symbol"/>
          <w:i/>
          <w:sz w:val="24"/>
          <w:szCs w:val="24"/>
          <w:lang w:val="en-US"/>
        </w:rPr>
        <w:t></w:t>
      </w:r>
      <w:r w:rsidRPr="00913129">
        <w:rPr>
          <w:sz w:val="24"/>
          <w:szCs w:val="24"/>
          <w:lang w:val="en-US"/>
        </w:rPr>
        <w:t xml:space="preserve"> is of about 0.3</w:t>
      </w:r>
      <w:r w:rsidR="00B8128F">
        <w:rPr>
          <w:sz w:val="24"/>
          <w:szCs w:val="24"/>
          <w:lang w:val="en-US"/>
        </w:rPr>
        <w:t>4</w:t>
      </w:r>
      <w:r w:rsidRPr="00913129">
        <w:rPr>
          <w:sz w:val="24"/>
          <w:szCs w:val="24"/>
          <w:lang w:val="en-US"/>
        </w:rPr>
        <w:t xml:space="preserve"> cm, which is the same order of magnitude than the grain size of </w:t>
      </w:r>
      <w:proofErr w:type="spellStart"/>
      <w:r w:rsidRPr="00913129">
        <w:rPr>
          <w:sz w:val="24"/>
          <w:szCs w:val="24"/>
          <w:lang w:val="en-US"/>
        </w:rPr>
        <w:t>Pz</w:t>
      </w:r>
      <w:proofErr w:type="spellEnd"/>
      <w:r w:rsidRPr="00913129">
        <w:rPr>
          <w:sz w:val="24"/>
          <w:szCs w:val="24"/>
          <w:lang w:val="en-US"/>
        </w:rPr>
        <w:t xml:space="preserve"> (between </w:t>
      </w:r>
      <w:r w:rsidRPr="00913129">
        <w:rPr>
          <w:sz w:val="24"/>
          <w:szCs w:val="24"/>
          <w:lang w:val="en-US"/>
        </w:rPr>
        <w:sym w:font="Symbol" w:char="F07E"/>
      </w:r>
      <w:r w:rsidRPr="00913129">
        <w:rPr>
          <w:sz w:val="24"/>
          <w:szCs w:val="24"/>
          <w:lang w:val="en-US"/>
        </w:rPr>
        <w:t xml:space="preserve"> 0.1 and </w:t>
      </w:r>
      <w:r w:rsidRPr="00913129">
        <w:rPr>
          <w:sz w:val="24"/>
          <w:szCs w:val="24"/>
          <w:lang w:val="en-US"/>
        </w:rPr>
        <w:sym w:font="Symbol" w:char="F07E"/>
      </w:r>
      <w:r w:rsidRPr="00913129">
        <w:rPr>
          <w:sz w:val="24"/>
          <w:szCs w:val="24"/>
          <w:lang w:val="en-US"/>
        </w:rPr>
        <w:t xml:space="preserve"> 0.3 cm). The </w:t>
      </w:r>
      <w:proofErr w:type="spellStart"/>
      <w:r w:rsidRPr="00913129">
        <w:rPr>
          <w:sz w:val="24"/>
          <w:szCs w:val="24"/>
          <w:lang w:val="en-US"/>
        </w:rPr>
        <w:t>Peclet</w:t>
      </w:r>
      <w:proofErr w:type="spellEnd"/>
      <w:r w:rsidRPr="00913129">
        <w:rPr>
          <w:sz w:val="24"/>
          <w:szCs w:val="24"/>
          <w:lang w:val="en-US"/>
        </w:rPr>
        <w:t xml:space="preserve"> number </w:t>
      </w:r>
      <w:proofErr w:type="spellStart"/>
      <w:r w:rsidRPr="00913129">
        <w:rPr>
          <w:sz w:val="24"/>
          <w:szCs w:val="24"/>
          <w:lang w:val="en-US"/>
        </w:rPr>
        <w:t>Pe</w:t>
      </w:r>
      <w:proofErr w:type="spellEnd"/>
      <w:r w:rsidRPr="00913129">
        <w:rPr>
          <w:sz w:val="24"/>
          <w:szCs w:val="24"/>
          <w:lang w:val="en-US"/>
        </w:rPr>
        <w:t xml:space="preserve"> in the columns, defined as:</w:t>
      </w:r>
    </w:p>
    <w:p w:rsidR="00913129" w:rsidRPr="00913129" w:rsidRDefault="00913129" w:rsidP="00913129">
      <w:pPr>
        <w:tabs>
          <w:tab w:val="right" w:pos="9072"/>
        </w:tabs>
        <w:spacing w:after="0" w:line="360" w:lineRule="auto"/>
        <w:jc w:val="both"/>
        <w:rPr>
          <w:sz w:val="24"/>
          <w:szCs w:val="24"/>
          <w:lang w:val="en-US"/>
        </w:rPr>
      </w:pPr>
      <w:r w:rsidRPr="00913129">
        <w:rPr>
          <w:position w:val="-24"/>
          <w:sz w:val="24"/>
          <w:szCs w:val="24"/>
          <w:lang w:val="en-US"/>
        </w:rPr>
        <w:object w:dxaOrig="920" w:dyaOrig="620">
          <v:shape id="_x0000_i1028" type="#_x0000_t75" style="width:45.75pt;height:30.75pt" o:ole="">
            <v:imagedata r:id="rId13" o:title=""/>
          </v:shape>
          <o:OLEObject Type="Embed" ProgID="Equation.3" ShapeID="_x0000_i1028" DrawAspect="Content" ObjectID="_1486466801" r:id="rId14"/>
        </w:object>
      </w:r>
      <w:r>
        <w:rPr>
          <w:sz w:val="24"/>
          <w:szCs w:val="24"/>
          <w:lang w:val="en-US"/>
        </w:rPr>
        <w:tab/>
        <w:t>(S</w:t>
      </w:r>
      <w:r w:rsidRPr="00913129">
        <w:rPr>
          <w:sz w:val="24"/>
          <w:szCs w:val="24"/>
          <w:lang w:val="en-US"/>
        </w:rPr>
        <w:t>3)</w:t>
      </w:r>
    </w:p>
    <w:p w:rsidR="00913129" w:rsidRPr="00913129" w:rsidRDefault="00913129" w:rsidP="00913129">
      <w:pPr>
        <w:spacing w:after="0" w:line="360" w:lineRule="auto"/>
        <w:jc w:val="both"/>
        <w:rPr>
          <w:sz w:val="24"/>
          <w:szCs w:val="24"/>
          <w:lang w:val="en-US"/>
        </w:rPr>
      </w:pPr>
      <w:proofErr w:type="gramStart"/>
      <w:r w:rsidRPr="00913129">
        <w:rPr>
          <w:sz w:val="24"/>
          <w:szCs w:val="24"/>
          <w:lang w:val="en-US"/>
        </w:rPr>
        <w:t>provides</w:t>
      </w:r>
      <w:proofErr w:type="gramEnd"/>
      <w:r w:rsidRPr="00913129">
        <w:rPr>
          <w:sz w:val="24"/>
          <w:szCs w:val="24"/>
          <w:lang w:val="en-US"/>
        </w:rPr>
        <w:t xml:space="preserve"> information on the relative importance between convection and hydrodynamic dispersion. It was found to be close to 3</w:t>
      </w:r>
      <w:r w:rsidR="00B8128F">
        <w:rPr>
          <w:sz w:val="24"/>
          <w:szCs w:val="24"/>
          <w:lang w:val="en-US"/>
        </w:rPr>
        <w:t>1</w:t>
      </w:r>
      <w:r w:rsidRPr="00913129">
        <w:rPr>
          <w:sz w:val="24"/>
          <w:szCs w:val="24"/>
          <w:lang w:val="en-US"/>
        </w:rPr>
        <w:t>, indicating a convective regime with non neglecting hydrodynamic dispersion.</w:t>
      </w:r>
    </w:p>
    <w:p w:rsidR="00913129" w:rsidRPr="00913129" w:rsidRDefault="00913129" w:rsidP="00913129">
      <w:pPr>
        <w:spacing w:after="0" w:line="360" w:lineRule="auto"/>
        <w:jc w:val="both"/>
        <w:rPr>
          <w:sz w:val="24"/>
          <w:szCs w:val="24"/>
          <w:lang w:val="en-US"/>
        </w:rPr>
      </w:pPr>
      <w:r w:rsidRPr="00913129">
        <w:rPr>
          <w:sz w:val="24"/>
          <w:szCs w:val="24"/>
          <w:lang w:val="en-US"/>
        </w:rPr>
        <w:tab/>
        <w:t>The second model, MIM, describes the heterogeneity through water fractionation into a mobile fraction active in mass transport and a stagnant immobile fraction, with convection and dispersion in mobile water and a first-order solute exchange between mobile and immobile fractions due to molecular diffusion. Therefore, the nonreactive solutes concentrations are governed by the following differential equations system:</w:t>
      </w:r>
    </w:p>
    <w:p w:rsidR="00913129" w:rsidRPr="00913129" w:rsidRDefault="00913129" w:rsidP="00913129">
      <w:pPr>
        <w:tabs>
          <w:tab w:val="right" w:pos="9072"/>
        </w:tabs>
        <w:spacing w:after="0" w:line="360" w:lineRule="auto"/>
        <w:jc w:val="both"/>
        <w:rPr>
          <w:sz w:val="24"/>
          <w:szCs w:val="24"/>
          <w:lang w:val="en-US"/>
        </w:rPr>
      </w:pPr>
      <w:r w:rsidRPr="00913129">
        <w:rPr>
          <w:position w:val="-64"/>
          <w:sz w:val="24"/>
          <w:szCs w:val="24"/>
        </w:rPr>
        <w:object w:dxaOrig="4459" w:dyaOrig="1400">
          <v:shape id="_x0000_i1029" type="#_x0000_t75" style="width:222.75pt;height:69pt" o:ole="" fillcolor="window">
            <v:imagedata r:id="rId15" o:title=""/>
          </v:shape>
          <o:OLEObject Type="Embed" ProgID="Equation.3" ShapeID="_x0000_i1029" DrawAspect="Content" ObjectID="_1486466802" r:id="rId16"/>
        </w:object>
      </w:r>
      <w:r>
        <w:rPr>
          <w:sz w:val="24"/>
          <w:szCs w:val="24"/>
          <w:lang w:val="en-US"/>
        </w:rPr>
        <w:tab/>
        <w:t>(S</w:t>
      </w:r>
      <w:r w:rsidRPr="00913129">
        <w:rPr>
          <w:sz w:val="24"/>
          <w:szCs w:val="24"/>
          <w:lang w:val="en-US"/>
        </w:rPr>
        <w:t>4)</w:t>
      </w:r>
    </w:p>
    <w:p w:rsidR="00913129" w:rsidRPr="00913129" w:rsidRDefault="00913129" w:rsidP="00913129">
      <w:pPr>
        <w:spacing w:after="0" w:line="360" w:lineRule="auto"/>
        <w:jc w:val="both"/>
        <w:rPr>
          <w:sz w:val="24"/>
          <w:szCs w:val="24"/>
          <w:lang w:val="en-US"/>
        </w:rPr>
      </w:pPr>
      <w:r w:rsidRPr="00913129">
        <w:rPr>
          <w:sz w:val="24"/>
          <w:szCs w:val="24"/>
          <w:lang w:val="en-US"/>
        </w:rPr>
        <w:lastRenderedPageBreak/>
        <w:t xml:space="preserve">where </w:t>
      </w:r>
      <w:r w:rsidRPr="00913129">
        <w:rPr>
          <w:rFonts w:ascii="Symbol" w:hAnsi="Symbol"/>
          <w:i/>
          <w:sz w:val="24"/>
          <w:szCs w:val="24"/>
        </w:rPr>
        <w:t></w:t>
      </w:r>
      <w:r w:rsidRPr="00913129">
        <w:rPr>
          <w:sz w:val="24"/>
          <w:szCs w:val="24"/>
          <w:vertAlign w:val="subscript"/>
          <w:lang w:val="en-US"/>
        </w:rPr>
        <w:t>m</w:t>
      </w:r>
      <w:r w:rsidRPr="00913129">
        <w:rPr>
          <w:sz w:val="24"/>
          <w:szCs w:val="24"/>
          <w:lang w:val="en-US"/>
        </w:rPr>
        <w:t xml:space="preserve"> and </w:t>
      </w:r>
      <w:r w:rsidRPr="00913129">
        <w:rPr>
          <w:rFonts w:ascii="Symbol" w:hAnsi="Symbol"/>
          <w:i/>
          <w:sz w:val="24"/>
          <w:szCs w:val="24"/>
        </w:rPr>
        <w:t></w:t>
      </w:r>
      <w:proofErr w:type="spellStart"/>
      <w:r w:rsidRPr="00913129">
        <w:rPr>
          <w:sz w:val="24"/>
          <w:szCs w:val="24"/>
          <w:vertAlign w:val="subscript"/>
          <w:lang w:val="en-US"/>
        </w:rPr>
        <w:t>im</w:t>
      </w:r>
      <w:proofErr w:type="spellEnd"/>
      <w:r w:rsidRPr="00913129">
        <w:rPr>
          <w:sz w:val="24"/>
          <w:szCs w:val="24"/>
          <w:lang w:val="en-US"/>
        </w:rPr>
        <w:t xml:space="preserve"> are the volumetric water contents of the mobile and the immobile fractions respectively (%), </w:t>
      </w:r>
      <w:r w:rsidRPr="00913129">
        <w:rPr>
          <w:i/>
          <w:sz w:val="24"/>
          <w:szCs w:val="24"/>
          <w:lang w:val="en-US"/>
        </w:rPr>
        <w:t>C</w:t>
      </w:r>
      <w:r w:rsidRPr="00913129">
        <w:rPr>
          <w:sz w:val="24"/>
          <w:szCs w:val="24"/>
          <w:vertAlign w:val="subscript"/>
          <w:lang w:val="en-US"/>
        </w:rPr>
        <w:t>m</w:t>
      </w:r>
      <w:r w:rsidRPr="00913129">
        <w:rPr>
          <w:sz w:val="24"/>
          <w:szCs w:val="24"/>
          <w:lang w:val="en-US"/>
        </w:rPr>
        <w:t xml:space="preserve"> and </w:t>
      </w:r>
      <w:proofErr w:type="spellStart"/>
      <w:r w:rsidRPr="00913129">
        <w:rPr>
          <w:i/>
          <w:sz w:val="24"/>
          <w:szCs w:val="24"/>
          <w:lang w:val="en-US"/>
        </w:rPr>
        <w:t>C</w:t>
      </w:r>
      <w:r w:rsidRPr="00913129">
        <w:rPr>
          <w:sz w:val="24"/>
          <w:szCs w:val="24"/>
          <w:vertAlign w:val="subscript"/>
          <w:lang w:val="en-US"/>
        </w:rPr>
        <w:t>im</w:t>
      </w:r>
      <w:proofErr w:type="spellEnd"/>
      <w:r w:rsidRPr="00913129">
        <w:rPr>
          <w:sz w:val="24"/>
          <w:szCs w:val="24"/>
          <w:lang w:val="en-US"/>
        </w:rPr>
        <w:t xml:space="preserve"> are the relative water solute concentrations in the mobile and the immobile fractions respectively (mol L</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xml:space="preserve">), </w:t>
      </w:r>
      <w:r w:rsidRPr="00913129">
        <w:rPr>
          <w:i/>
          <w:sz w:val="24"/>
          <w:szCs w:val="24"/>
          <w:lang w:val="en-US"/>
        </w:rPr>
        <w:t>D</w:t>
      </w:r>
      <w:r w:rsidRPr="00913129">
        <w:rPr>
          <w:sz w:val="24"/>
          <w:szCs w:val="24"/>
          <w:vertAlign w:val="subscript"/>
          <w:lang w:val="en-US"/>
        </w:rPr>
        <w:t>m</w:t>
      </w:r>
      <w:r w:rsidRPr="00913129">
        <w:rPr>
          <w:sz w:val="24"/>
          <w:szCs w:val="24"/>
          <w:lang w:val="en-US"/>
        </w:rPr>
        <w:t xml:space="preserve"> is the hydrodynamic dispersion coefficient in the mobile fraction (cm</w:t>
      </w:r>
      <w:r w:rsidRPr="00913129">
        <w:rPr>
          <w:sz w:val="24"/>
          <w:szCs w:val="24"/>
          <w:vertAlign w:val="superscript"/>
          <w:lang w:val="en-US"/>
        </w:rPr>
        <w:t>2</w:t>
      </w:r>
      <w:r w:rsidRPr="00913129">
        <w:rPr>
          <w:sz w:val="24"/>
          <w:szCs w:val="24"/>
          <w:lang w:val="en-US"/>
        </w:rPr>
        <w:t xml:space="preserve"> min</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xml:space="preserve">), </w:t>
      </w:r>
      <w:r w:rsidRPr="00913129">
        <w:rPr>
          <w:i/>
          <w:sz w:val="24"/>
          <w:szCs w:val="24"/>
          <w:lang w:val="en-US"/>
        </w:rPr>
        <w:t>q</w:t>
      </w:r>
      <w:r w:rsidRPr="00913129">
        <w:rPr>
          <w:sz w:val="24"/>
          <w:szCs w:val="24"/>
          <w:lang w:val="en-US"/>
        </w:rPr>
        <w:t xml:space="preserve"> is the Darcy velocity (cm min</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xml:space="preserve">) and </w:t>
      </w:r>
      <w:r w:rsidRPr="00913129">
        <w:rPr>
          <w:rFonts w:ascii="Symbol" w:hAnsi="Symbol"/>
          <w:i/>
          <w:sz w:val="24"/>
          <w:szCs w:val="24"/>
        </w:rPr>
        <w:t></w:t>
      </w:r>
      <w:r w:rsidRPr="00913129">
        <w:rPr>
          <w:sz w:val="24"/>
          <w:szCs w:val="24"/>
          <w:lang w:val="en-US"/>
        </w:rPr>
        <w:t xml:space="preserve"> is the solute exchange rate between the mobile and the immobile fractions (min</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Bromide concentrations were analyzed using MIM developed on MATHCAD Professional software to provide estimations of the hydrodynamic parameters (</w:t>
      </w:r>
      <w:r w:rsidRPr="00913129">
        <w:rPr>
          <w:rFonts w:ascii="Symbol" w:hAnsi="Symbol"/>
          <w:i/>
          <w:sz w:val="24"/>
          <w:szCs w:val="24"/>
        </w:rPr>
        <w:t></w:t>
      </w:r>
      <w:r w:rsidRPr="00913129">
        <w:rPr>
          <w:sz w:val="24"/>
          <w:szCs w:val="24"/>
          <w:vertAlign w:val="subscript"/>
          <w:lang w:val="en-US"/>
        </w:rPr>
        <w:t>m</w:t>
      </w:r>
      <w:r w:rsidRPr="00913129">
        <w:rPr>
          <w:sz w:val="24"/>
          <w:szCs w:val="24"/>
          <w:lang w:val="en-US"/>
        </w:rPr>
        <w:t xml:space="preserve">, </w:t>
      </w:r>
      <w:r w:rsidRPr="00913129">
        <w:rPr>
          <w:rFonts w:ascii="Symbol" w:hAnsi="Symbol"/>
          <w:i/>
          <w:sz w:val="24"/>
          <w:szCs w:val="24"/>
        </w:rPr>
        <w:t></w:t>
      </w:r>
      <w:proofErr w:type="spellStart"/>
      <w:r w:rsidRPr="00913129">
        <w:rPr>
          <w:sz w:val="24"/>
          <w:szCs w:val="24"/>
          <w:vertAlign w:val="subscript"/>
          <w:lang w:val="en-US"/>
        </w:rPr>
        <w:t>im</w:t>
      </w:r>
      <w:proofErr w:type="spellEnd"/>
      <w:r w:rsidRPr="00913129">
        <w:rPr>
          <w:sz w:val="24"/>
          <w:szCs w:val="24"/>
          <w:lang w:val="en-US"/>
        </w:rPr>
        <w:t xml:space="preserve">, </w:t>
      </w:r>
      <w:r w:rsidRPr="00913129">
        <w:rPr>
          <w:rFonts w:ascii="Symbol" w:hAnsi="Symbol"/>
          <w:i/>
          <w:sz w:val="24"/>
          <w:szCs w:val="24"/>
        </w:rPr>
        <w:t></w:t>
      </w:r>
      <w:r w:rsidRPr="00913129">
        <w:rPr>
          <w:sz w:val="24"/>
          <w:szCs w:val="24"/>
          <w:lang w:val="en-US"/>
        </w:rPr>
        <w:t xml:space="preserve"> and </w:t>
      </w:r>
      <w:r w:rsidRPr="00913129">
        <w:rPr>
          <w:i/>
          <w:sz w:val="24"/>
          <w:szCs w:val="24"/>
          <w:lang w:val="en-US"/>
        </w:rPr>
        <w:t>D</w:t>
      </w:r>
      <w:r w:rsidRPr="00913129">
        <w:rPr>
          <w:sz w:val="24"/>
          <w:szCs w:val="24"/>
          <w:vertAlign w:val="subscript"/>
          <w:lang w:val="en-US"/>
        </w:rPr>
        <w:t>m</w:t>
      </w:r>
      <w:r w:rsidRPr="00913129">
        <w:rPr>
          <w:sz w:val="24"/>
          <w:szCs w:val="24"/>
          <w:lang w:val="en-US"/>
        </w:rPr>
        <w:t xml:space="preserve">). The macroscopic </w:t>
      </w:r>
      <w:proofErr w:type="spellStart"/>
      <w:r w:rsidRPr="00913129">
        <w:rPr>
          <w:sz w:val="24"/>
          <w:szCs w:val="24"/>
          <w:lang w:val="en-US"/>
        </w:rPr>
        <w:t>dispersivity</w:t>
      </w:r>
      <w:proofErr w:type="spellEnd"/>
      <w:r w:rsidRPr="00913129">
        <w:rPr>
          <w:sz w:val="24"/>
          <w:szCs w:val="24"/>
          <w:lang w:val="en-US"/>
        </w:rPr>
        <w:t xml:space="preserve"> </w:t>
      </w:r>
      <w:r w:rsidRPr="00913129">
        <w:rPr>
          <w:rFonts w:ascii="Symbol" w:hAnsi="Symbol"/>
          <w:i/>
          <w:sz w:val="24"/>
          <w:szCs w:val="24"/>
        </w:rPr>
        <w:t></w:t>
      </w:r>
      <w:r w:rsidRPr="00913129">
        <w:rPr>
          <w:sz w:val="24"/>
          <w:szCs w:val="24"/>
          <w:lang w:val="en-US"/>
        </w:rPr>
        <w:t xml:space="preserve"> (cm) was still calculated neglecting molecular diffusion, but this time according to:</w:t>
      </w:r>
    </w:p>
    <w:p w:rsidR="00913129" w:rsidRPr="00913129" w:rsidRDefault="00913129" w:rsidP="00913129">
      <w:pPr>
        <w:tabs>
          <w:tab w:val="right" w:pos="9072"/>
        </w:tabs>
        <w:spacing w:after="0" w:line="360" w:lineRule="auto"/>
        <w:jc w:val="both"/>
        <w:rPr>
          <w:sz w:val="24"/>
          <w:szCs w:val="24"/>
          <w:lang w:val="en-US"/>
        </w:rPr>
      </w:pPr>
      <w:r w:rsidRPr="00913129">
        <w:rPr>
          <w:position w:val="-28"/>
          <w:sz w:val="24"/>
          <w:szCs w:val="24"/>
          <w:lang w:val="en-US"/>
        </w:rPr>
        <w:object w:dxaOrig="1120" w:dyaOrig="680">
          <v:shape id="_x0000_i1030" type="#_x0000_t75" style="width:55.5pt;height:34.5pt" o:ole="">
            <v:imagedata r:id="rId17" o:title=""/>
          </v:shape>
          <o:OLEObject Type="Embed" ProgID="Equation.3" ShapeID="_x0000_i1030" DrawAspect="Content" ObjectID="_1486466803" r:id="rId18"/>
        </w:object>
      </w:r>
      <w:r>
        <w:rPr>
          <w:sz w:val="24"/>
          <w:szCs w:val="24"/>
          <w:lang w:val="en-US"/>
        </w:rPr>
        <w:tab/>
        <w:t>(S</w:t>
      </w:r>
      <w:r w:rsidRPr="00913129">
        <w:rPr>
          <w:sz w:val="24"/>
          <w:szCs w:val="24"/>
          <w:lang w:val="en-US"/>
        </w:rPr>
        <w:t>5)</w:t>
      </w:r>
    </w:p>
    <w:p w:rsidR="00913129" w:rsidRPr="00913129" w:rsidRDefault="00913129" w:rsidP="00913129">
      <w:pPr>
        <w:spacing w:after="0" w:line="360" w:lineRule="auto"/>
        <w:jc w:val="both"/>
        <w:rPr>
          <w:sz w:val="24"/>
          <w:szCs w:val="24"/>
          <w:lang w:val="en-US"/>
        </w:rPr>
      </w:pPr>
      <w:r w:rsidRPr="00913129">
        <w:rPr>
          <w:sz w:val="24"/>
          <w:szCs w:val="24"/>
          <w:lang w:val="en-US"/>
        </w:rPr>
        <w:tab/>
      </w:r>
      <w:r w:rsidR="001E4039">
        <w:rPr>
          <w:sz w:val="24"/>
          <w:szCs w:val="24"/>
          <w:lang w:val="en-US"/>
        </w:rPr>
        <w:t>Figure S2</w:t>
      </w:r>
      <w:r w:rsidRPr="00913129">
        <w:rPr>
          <w:sz w:val="24"/>
          <w:szCs w:val="24"/>
          <w:lang w:val="en-US"/>
        </w:rPr>
        <w:t xml:space="preserve"> shows the theoretical bromide breakthrough curve, modeled from MIM, obtained for </w:t>
      </w:r>
      <w:r w:rsidR="005F772E">
        <w:rPr>
          <w:sz w:val="24"/>
          <w:szCs w:val="24"/>
          <w:lang w:val="en-US"/>
        </w:rPr>
        <w:t>0.5</w:t>
      </w:r>
      <w:r w:rsidR="005F772E" w:rsidRPr="00913129">
        <w:rPr>
          <w:sz w:val="24"/>
          <w:szCs w:val="24"/>
          <w:lang w:val="en-US"/>
        </w:rPr>
        <w:t xml:space="preserve"> </w:t>
      </w:r>
      <w:r w:rsidRPr="00913129">
        <w:rPr>
          <w:sz w:val="24"/>
          <w:szCs w:val="24"/>
          <w:lang w:val="en-US"/>
        </w:rPr>
        <w:t>mL min</w:t>
      </w:r>
      <w:r w:rsidRPr="00913129">
        <w:rPr>
          <w:iCs/>
          <w:sz w:val="24"/>
          <w:szCs w:val="24"/>
          <w:vertAlign w:val="superscript"/>
          <w:lang w:val="it-IT"/>
        </w:rPr>
        <w:t>–</w:t>
      </w:r>
      <w:r w:rsidRPr="00913129">
        <w:rPr>
          <w:sz w:val="24"/>
          <w:szCs w:val="24"/>
          <w:vertAlign w:val="superscript"/>
          <w:lang w:val="en-US"/>
        </w:rPr>
        <w:t>1</w:t>
      </w:r>
      <w:r w:rsidRPr="00913129">
        <w:rPr>
          <w:sz w:val="24"/>
          <w:szCs w:val="24"/>
          <w:lang w:val="en-US"/>
        </w:rPr>
        <w:t xml:space="preserve"> flow rate. Adequate modeling of experimental data is obtained suggesting that MIM could also describe the nonreactive tracer breakthrough curve. A diffusion process might take place in the column. The hydrodynamic parameters for the column are summarized in Table S2. Flow concerns 8</w:t>
      </w:r>
      <w:r w:rsidR="00CD3721">
        <w:rPr>
          <w:sz w:val="24"/>
          <w:szCs w:val="24"/>
          <w:lang w:val="en-US"/>
        </w:rPr>
        <w:t>5</w:t>
      </w:r>
      <w:r w:rsidRPr="00913129">
        <w:rPr>
          <w:sz w:val="24"/>
          <w:szCs w:val="24"/>
          <w:lang w:val="en-US"/>
        </w:rPr>
        <w:t xml:space="preserve"> % of total water content (mobile fraction), the </w:t>
      </w:r>
      <w:r w:rsidR="00A133A0">
        <w:rPr>
          <w:sz w:val="24"/>
          <w:szCs w:val="24"/>
          <w:lang w:val="en-US"/>
        </w:rPr>
        <w:t>other 15</w:t>
      </w:r>
      <w:r w:rsidRPr="00913129">
        <w:rPr>
          <w:sz w:val="24"/>
          <w:szCs w:val="24"/>
          <w:lang w:val="en-US"/>
        </w:rPr>
        <w:t xml:space="preserve"> </w:t>
      </w:r>
      <w:r w:rsidR="00A133A0" w:rsidRPr="00913129">
        <w:rPr>
          <w:sz w:val="24"/>
          <w:szCs w:val="24"/>
          <w:lang w:val="en-US"/>
        </w:rPr>
        <w:t>%</w:t>
      </w:r>
      <w:r w:rsidR="00A133A0">
        <w:rPr>
          <w:sz w:val="24"/>
          <w:szCs w:val="24"/>
          <w:lang w:val="en-US"/>
        </w:rPr>
        <w:t xml:space="preserve"> </w:t>
      </w:r>
      <w:r w:rsidRPr="00913129">
        <w:rPr>
          <w:sz w:val="24"/>
          <w:szCs w:val="24"/>
          <w:lang w:val="en-US"/>
        </w:rPr>
        <w:t>being immobile.</w:t>
      </w:r>
    </w:p>
    <w:p w:rsidR="001E4039" w:rsidRPr="005512B8" w:rsidRDefault="001E4039" w:rsidP="001E4039">
      <w:pPr>
        <w:spacing w:after="0" w:line="480" w:lineRule="auto"/>
        <w:jc w:val="both"/>
        <w:rPr>
          <w:sz w:val="24"/>
          <w:szCs w:val="24"/>
          <w:lang w:val="en-US"/>
        </w:rPr>
      </w:pPr>
    </w:p>
    <w:p w:rsidR="001E4039" w:rsidRDefault="001E4039" w:rsidP="001E4039">
      <w:pPr>
        <w:spacing w:after="0"/>
        <w:jc w:val="both"/>
        <w:rPr>
          <w:sz w:val="24"/>
          <w:szCs w:val="24"/>
          <w:lang w:val="en-US"/>
        </w:rPr>
      </w:pPr>
      <w:r>
        <w:rPr>
          <w:b/>
          <w:sz w:val="24"/>
          <w:szCs w:val="24"/>
          <w:lang w:val="en-US"/>
        </w:rPr>
        <w:t xml:space="preserve">Table S2. </w:t>
      </w:r>
      <w:r>
        <w:rPr>
          <w:sz w:val="24"/>
          <w:szCs w:val="24"/>
          <w:lang w:val="en-US"/>
        </w:rPr>
        <w:t xml:space="preserve">Hydrodynamic parameters modeling with (a) CDE and (b) MIM at </w:t>
      </w:r>
      <w:r w:rsidR="005F772E">
        <w:rPr>
          <w:sz w:val="24"/>
          <w:szCs w:val="24"/>
          <w:lang w:val="en-US"/>
        </w:rPr>
        <w:t xml:space="preserve">0.5 </w:t>
      </w:r>
      <w:r w:rsidRPr="00B75B78">
        <w:rPr>
          <w:sz w:val="24"/>
          <w:szCs w:val="24"/>
          <w:lang w:val="en-US"/>
        </w:rPr>
        <w:t>mL min</w:t>
      </w:r>
      <w:r w:rsidRPr="00B75B78">
        <w:rPr>
          <w:iCs/>
          <w:sz w:val="24"/>
          <w:szCs w:val="24"/>
          <w:vertAlign w:val="superscript"/>
          <w:lang w:val="it-IT"/>
        </w:rPr>
        <w:t>–</w:t>
      </w:r>
      <w:r w:rsidRPr="00B75B78">
        <w:rPr>
          <w:sz w:val="24"/>
          <w:szCs w:val="24"/>
          <w:vertAlign w:val="superscript"/>
          <w:lang w:val="en-US"/>
        </w:rPr>
        <w:t>1</w:t>
      </w:r>
      <w:r>
        <w:rPr>
          <w:sz w:val="24"/>
          <w:szCs w:val="24"/>
          <w:lang w:val="en-US"/>
        </w:rPr>
        <w:t xml:space="preserve"> flow rate.</w:t>
      </w:r>
    </w:p>
    <w:p w:rsidR="001E4039" w:rsidRDefault="001E4039" w:rsidP="001E4039">
      <w:pPr>
        <w:spacing w:after="0"/>
        <w:jc w:val="both"/>
        <w:rPr>
          <w:sz w:val="24"/>
          <w:szCs w:val="24"/>
          <w:lang w:val="en-US"/>
        </w:rPr>
      </w:pPr>
    </w:p>
    <w:tbl>
      <w:tblPr>
        <w:tblStyle w:val="Grilledutableau"/>
        <w:tblW w:w="0" w:type="auto"/>
        <w:jc w:val="center"/>
        <w:tblInd w:w="419" w:type="dxa"/>
        <w:tblLook w:val="04A0"/>
      </w:tblPr>
      <w:tblGrid>
        <w:gridCol w:w="1674"/>
        <w:gridCol w:w="1701"/>
        <w:gridCol w:w="1559"/>
        <w:gridCol w:w="1134"/>
        <w:gridCol w:w="934"/>
        <w:gridCol w:w="1123"/>
      </w:tblGrid>
      <w:tr w:rsidR="00780D93" w:rsidRPr="001E4039" w:rsidTr="00780D93">
        <w:trPr>
          <w:jc w:val="center"/>
        </w:trPr>
        <w:tc>
          <w:tcPr>
            <w:tcW w:w="1674" w:type="dxa"/>
            <w:tcBorders>
              <w:top w:val="nil"/>
              <w:left w:val="nil"/>
              <w:bottom w:val="nil"/>
              <w:right w:val="nil"/>
            </w:tcBorders>
          </w:tcPr>
          <w:p w:rsidR="00780D93" w:rsidRPr="00780D93" w:rsidRDefault="00780D93" w:rsidP="00DE54F5">
            <w:pPr>
              <w:spacing w:line="480" w:lineRule="auto"/>
              <w:jc w:val="center"/>
              <w:rPr>
                <w:b/>
                <w:sz w:val="24"/>
                <w:szCs w:val="24"/>
                <w:lang w:val="en-US"/>
              </w:rPr>
            </w:pPr>
            <w:r w:rsidRPr="00780D93">
              <w:rPr>
                <w:b/>
                <w:sz w:val="24"/>
                <w:szCs w:val="24"/>
                <w:lang w:val="en-US"/>
              </w:rPr>
              <w:t>(a)</w:t>
            </w:r>
          </w:p>
        </w:tc>
        <w:tc>
          <w:tcPr>
            <w:tcW w:w="1701" w:type="dxa"/>
            <w:tcBorders>
              <w:left w:val="nil"/>
              <w:bottom w:val="single" w:sz="4" w:space="0" w:color="auto"/>
              <w:right w:val="nil"/>
            </w:tcBorders>
            <w:vAlign w:val="center"/>
          </w:tcPr>
          <w:p w:rsidR="00780D93" w:rsidRPr="00B75B78" w:rsidRDefault="00780D93" w:rsidP="00DE54F5">
            <w:pPr>
              <w:spacing w:line="480" w:lineRule="auto"/>
              <w:jc w:val="center"/>
              <w:rPr>
                <w:sz w:val="24"/>
                <w:szCs w:val="24"/>
                <w:lang w:val="en-US"/>
              </w:rPr>
            </w:pPr>
            <w:r w:rsidRPr="00B75B78">
              <w:rPr>
                <w:i/>
                <w:sz w:val="24"/>
                <w:szCs w:val="24"/>
                <w:lang w:val="en-US"/>
              </w:rPr>
              <w:t>D</w:t>
            </w:r>
            <w:r w:rsidRPr="00B75B78">
              <w:rPr>
                <w:sz w:val="24"/>
                <w:szCs w:val="24"/>
                <w:lang w:val="en-US"/>
              </w:rPr>
              <w:t xml:space="preserve"> (cm</w:t>
            </w:r>
            <w:r w:rsidRPr="00B75B78">
              <w:rPr>
                <w:sz w:val="24"/>
                <w:szCs w:val="24"/>
                <w:vertAlign w:val="superscript"/>
                <w:lang w:val="en-US"/>
              </w:rPr>
              <w:t>2</w:t>
            </w:r>
            <w:r w:rsidRPr="00B75B78">
              <w:rPr>
                <w:sz w:val="24"/>
                <w:szCs w:val="24"/>
                <w:lang w:val="en-US"/>
              </w:rPr>
              <w:t xml:space="preserve"> min</w:t>
            </w:r>
            <w:r w:rsidRPr="00B75B78">
              <w:rPr>
                <w:iCs/>
                <w:sz w:val="24"/>
                <w:szCs w:val="24"/>
                <w:vertAlign w:val="superscript"/>
                <w:lang w:val="it-IT"/>
              </w:rPr>
              <w:t>–</w:t>
            </w:r>
            <w:r w:rsidRPr="00B75B78">
              <w:rPr>
                <w:sz w:val="24"/>
                <w:szCs w:val="24"/>
                <w:vertAlign w:val="superscript"/>
                <w:lang w:val="en-US"/>
              </w:rPr>
              <w:t>1</w:t>
            </w:r>
            <w:r w:rsidRPr="00B75B78">
              <w:rPr>
                <w:sz w:val="24"/>
                <w:szCs w:val="24"/>
                <w:lang w:val="en-US"/>
              </w:rPr>
              <w:t>)</w:t>
            </w:r>
          </w:p>
        </w:tc>
        <w:tc>
          <w:tcPr>
            <w:tcW w:w="1559" w:type="dxa"/>
            <w:tcBorders>
              <w:left w:val="nil"/>
              <w:bottom w:val="single" w:sz="4" w:space="0" w:color="auto"/>
              <w:right w:val="nil"/>
            </w:tcBorders>
            <w:vAlign w:val="center"/>
          </w:tcPr>
          <w:p w:rsidR="00780D93" w:rsidRPr="00B75B78" w:rsidRDefault="00780D93" w:rsidP="00DE54F5">
            <w:pPr>
              <w:spacing w:line="480" w:lineRule="auto"/>
              <w:jc w:val="center"/>
              <w:rPr>
                <w:sz w:val="24"/>
                <w:szCs w:val="24"/>
                <w:lang w:val="en-US"/>
              </w:rPr>
            </w:pPr>
            <w:r w:rsidRPr="00C73528">
              <w:rPr>
                <w:rFonts w:ascii="Symbol" w:hAnsi="Symbol"/>
                <w:i/>
                <w:sz w:val="24"/>
                <w:szCs w:val="24"/>
                <w:lang w:val="en-US"/>
              </w:rPr>
              <w:t></w:t>
            </w:r>
            <w:r w:rsidRPr="00B75B78">
              <w:rPr>
                <w:sz w:val="24"/>
                <w:szCs w:val="24"/>
                <w:lang w:val="en-US"/>
              </w:rPr>
              <w:t xml:space="preserve"> (cm min</w:t>
            </w:r>
            <w:r w:rsidRPr="00B75B78">
              <w:rPr>
                <w:iCs/>
                <w:sz w:val="24"/>
                <w:szCs w:val="24"/>
                <w:vertAlign w:val="superscript"/>
                <w:lang w:val="it-IT"/>
              </w:rPr>
              <w:t>–</w:t>
            </w:r>
            <w:r w:rsidRPr="00B75B78">
              <w:rPr>
                <w:sz w:val="24"/>
                <w:szCs w:val="24"/>
                <w:vertAlign w:val="superscript"/>
                <w:lang w:val="en-US"/>
              </w:rPr>
              <w:t>1</w:t>
            </w:r>
            <w:r w:rsidRPr="00B75B78">
              <w:rPr>
                <w:sz w:val="24"/>
                <w:szCs w:val="24"/>
                <w:lang w:val="en-US"/>
              </w:rPr>
              <w:t>)</w:t>
            </w:r>
          </w:p>
        </w:tc>
        <w:tc>
          <w:tcPr>
            <w:tcW w:w="1134" w:type="dxa"/>
            <w:tcBorders>
              <w:left w:val="nil"/>
              <w:bottom w:val="single" w:sz="4" w:space="0" w:color="auto"/>
              <w:right w:val="nil"/>
            </w:tcBorders>
            <w:vAlign w:val="center"/>
          </w:tcPr>
          <w:p w:rsidR="00780D93" w:rsidRPr="00B75B78" w:rsidRDefault="00780D93" w:rsidP="00DE54F5">
            <w:pPr>
              <w:spacing w:line="480" w:lineRule="auto"/>
              <w:jc w:val="center"/>
              <w:rPr>
                <w:sz w:val="24"/>
                <w:szCs w:val="24"/>
                <w:lang w:val="en-US"/>
              </w:rPr>
            </w:pPr>
            <w:r w:rsidRPr="00FC11C3">
              <w:rPr>
                <w:rFonts w:ascii="Symbol" w:hAnsi="Symbol"/>
                <w:i/>
                <w:sz w:val="24"/>
                <w:szCs w:val="24"/>
                <w:lang w:val="en-US"/>
              </w:rPr>
              <w:t></w:t>
            </w:r>
            <w:r>
              <w:rPr>
                <w:sz w:val="24"/>
                <w:szCs w:val="24"/>
                <w:lang w:val="en-US"/>
              </w:rPr>
              <w:t xml:space="preserve"> (cm)</w:t>
            </w:r>
          </w:p>
        </w:tc>
        <w:tc>
          <w:tcPr>
            <w:tcW w:w="934" w:type="dxa"/>
            <w:tcBorders>
              <w:left w:val="nil"/>
              <w:bottom w:val="single" w:sz="4" w:space="0" w:color="auto"/>
              <w:right w:val="nil"/>
            </w:tcBorders>
            <w:vAlign w:val="center"/>
          </w:tcPr>
          <w:p w:rsidR="00780D93" w:rsidRPr="00B75B78" w:rsidRDefault="00780D93" w:rsidP="00DE54F5">
            <w:pPr>
              <w:spacing w:line="480" w:lineRule="auto"/>
              <w:jc w:val="center"/>
              <w:rPr>
                <w:sz w:val="24"/>
                <w:szCs w:val="24"/>
                <w:lang w:val="en-US"/>
              </w:rPr>
            </w:pPr>
            <w:proofErr w:type="spellStart"/>
            <w:r>
              <w:rPr>
                <w:sz w:val="24"/>
                <w:szCs w:val="24"/>
                <w:lang w:val="en-US"/>
              </w:rPr>
              <w:t>Pe</w:t>
            </w:r>
            <w:proofErr w:type="spellEnd"/>
          </w:p>
        </w:tc>
        <w:tc>
          <w:tcPr>
            <w:tcW w:w="1123" w:type="dxa"/>
            <w:tcBorders>
              <w:top w:val="nil"/>
              <w:left w:val="nil"/>
              <w:bottom w:val="nil"/>
              <w:right w:val="nil"/>
            </w:tcBorders>
          </w:tcPr>
          <w:p w:rsidR="00780D93" w:rsidRDefault="00780D93" w:rsidP="00DE54F5">
            <w:pPr>
              <w:spacing w:line="480" w:lineRule="auto"/>
              <w:jc w:val="center"/>
              <w:rPr>
                <w:sz w:val="24"/>
                <w:szCs w:val="24"/>
                <w:lang w:val="en-US"/>
              </w:rPr>
            </w:pPr>
          </w:p>
        </w:tc>
      </w:tr>
      <w:tr w:rsidR="00780D93" w:rsidRPr="001E4039" w:rsidTr="00780D93">
        <w:trPr>
          <w:jc w:val="center"/>
        </w:trPr>
        <w:tc>
          <w:tcPr>
            <w:tcW w:w="1674" w:type="dxa"/>
            <w:tcBorders>
              <w:top w:val="nil"/>
              <w:left w:val="nil"/>
              <w:bottom w:val="nil"/>
              <w:right w:val="nil"/>
            </w:tcBorders>
          </w:tcPr>
          <w:p w:rsidR="00780D93" w:rsidRDefault="00780D93" w:rsidP="00DE54F5">
            <w:pPr>
              <w:spacing w:line="480" w:lineRule="auto"/>
              <w:jc w:val="center"/>
              <w:rPr>
                <w:sz w:val="24"/>
                <w:szCs w:val="24"/>
                <w:lang w:val="en-US"/>
              </w:rPr>
            </w:pPr>
          </w:p>
        </w:tc>
        <w:tc>
          <w:tcPr>
            <w:tcW w:w="1701" w:type="dxa"/>
            <w:tcBorders>
              <w:left w:val="nil"/>
              <w:bottom w:val="single" w:sz="4" w:space="0" w:color="auto"/>
              <w:right w:val="nil"/>
            </w:tcBorders>
            <w:vAlign w:val="center"/>
          </w:tcPr>
          <w:p w:rsidR="00780D93" w:rsidRDefault="00780D93" w:rsidP="005F772E">
            <w:pPr>
              <w:spacing w:line="480" w:lineRule="auto"/>
              <w:jc w:val="center"/>
              <w:rPr>
                <w:sz w:val="24"/>
                <w:szCs w:val="24"/>
                <w:lang w:val="en-US"/>
              </w:rPr>
            </w:pPr>
            <w:r>
              <w:rPr>
                <w:sz w:val="24"/>
                <w:szCs w:val="24"/>
                <w:lang w:val="en-US"/>
              </w:rPr>
              <w:t>0.0</w:t>
            </w:r>
            <w:r w:rsidR="005F772E">
              <w:rPr>
                <w:sz w:val="24"/>
                <w:szCs w:val="24"/>
                <w:lang w:val="en-US"/>
              </w:rPr>
              <w:t>44</w:t>
            </w:r>
          </w:p>
        </w:tc>
        <w:tc>
          <w:tcPr>
            <w:tcW w:w="1559" w:type="dxa"/>
            <w:tcBorders>
              <w:left w:val="nil"/>
              <w:bottom w:val="single" w:sz="4" w:space="0" w:color="auto"/>
              <w:right w:val="nil"/>
            </w:tcBorders>
            <w:vAlign w:val="center"/>
          </w:tcPr>
          <w:p w:rsidR="00780D93" w:rsidRDefault="00780D93" w:rsidP="00DE54F5">
            <w:pPr>
              <w:spacing w:line="480" w:lineRule="auto"/>
              <w:jc w:val="center"/>
              <w:rPr>
                <w:sz w:val="24"/>
                <w:szCs w:val="24"/>
                <w:lang w:val="en-US"/>
              </w:rPr>
            </w:pPr>
            <w:r>
              <w:rPr>
                <w:sz w:val="24"/>
                <w:szCs w:val="24"/>
                <w:lang w:val="en-US"/>
              </w:rPr>
              <w:t>0.</w:t>
            </w:r>
            <w:r w:rsidR="005F772E">
              <w:rPr>
                <w:sz w:val="24"/>
                <w:szCs w:val="24"/>
                <w:lang w:val="en-US"/>
              </w:rPr>
              <w:t>13</w:t>
            </w:r>
          </w:p>
        </w:tc>
        <w:tc>
          <w:tcPr>
            <w:tcW w:w="1134" w:type="dxa"/>
            <w:tcBorders>
              <w:left w:val="nil"/>
              <w:bottom w:val="single" w:sz="4" w:space="0" w:color="auto"/>
              <w:right w:val="nil"/>
            </w:tcBorders>
            <w:vAlign w:val="center"/>
          </w:tcPr>
          <w:p w:rsidR="00780D93" w:rsidRDefault="00780D93" w:rsidP="00DE54F5">
            <w:pPr>
              <w:spacing w:line="480" w:lineRule="auto"/>
              <w:jc w:val="center"/>
              <w:rPr>
                <w:sz w:val="24"/>
                <w:szCs w:val="24"/>
                <w:lang w:val="en-US"/>
              </w:rPr>
            </w:pPr>
            <w:r>
              <w:rPr>
                <w:sz w:val="24"/>
                <w:szCs w:val="24"/>
                <w:lang w:val="en-US"/>
              </w:rPr>
              <w:t>0.3</w:t>
            </w:r>
            <w:r w:rsidR="005F772E">
              <w:rPr>
                <w:sz w:val="24"/>
                <w:szCs w:val="24"/>
                <w:lang w:val="en-US"/>
              </w:rPr>
              <w:t>4</w:t>
            </w:r>
          </w:p>
        </w:tc>
        <w:tc>
          <w:tcPr>
            <w:tcW w:w="934" w:type="dxa"/>
            <w:tcBorders>
              <w:left w:val="nil"/>
              <w:bottom w:val="single" w:sz="4" w:space="0" w:color="auto"/>
              <w:right w:val="nil"/>
            </w:tcBorders>
            <w:vAlign w:val="center"/>
          </w:tcPr>
          <w:p w:rsidR="00780D93" w:rsidRDefault="00780D93" w:rsidP="00DE54F5">
            <w:pPr>
              <w:spacing w:line="480" w:lineRule="auto"/>
              <w:jc w:val="center"/>
              <w:rPr>
                <w:sz w:val="24"/>
                <w:szCs w:val="24"/>
                <w:lang w:val="en-US"/>
              </w:rPr>
            </w:pPr>
            <w:r>
              <w:rPr>
                <w:sz w:val="24"/>
                <w:szCs w:val="24"/>
                <w:lang w:val="en-US"/>
              </w:rPr>
              <w:t>3</w:t>
            </w:r>
            <w:r w:rsidR="005F772E">
              <w:rPr>
                <w:sz w:val="24"/>
                <w:szCs w:val="24"/>
                <w:lang w:val="en-US"/>
              </w:rPr>
              <w:t>1</w:t>
            </w:r>
          </w:p>
        </w:tc>
        <w:tc>
          <w:tcPr>
            <w:tcW w:w="1123" w:type="dxa"/>
            <w:tcBorders>
              <w:top w:val="nil"/>
              <w:left w:val="nil"/>
              <w:bottom w:val="nil"/>
              <w:right w:val="nil"/>
            </w:tcBorders>
          </w:tcPr>
          <w:p w:rsidR="00780D93" w:rsidRDefault="00780D93" w:rsidP="00DE54F5">
            <w:pPr>
              <w:spacing w:line="480" w:lineRule="auto"/>
              <w:jc w:val="center"/>
              <w:rPr>
                <w:sz w:val="24"/>
                <w:szCs w:val="24"/>
                <w:lang w:val="en-US"/>
              </w:rPr>
            </w:pPr>
          </w:p>
        </w:tc>
      </w:tr>
    </w:tbl>
    <w:p w:rsidR="001E4039" w:rsidRDefault="001E4039" w:rsidP="001E4039">
      <w:pPr>
        <w:spacing w:after="0" w:line="480" w:lineRule="auto"/>
        <w:jc w:val="both"/>
        <w:rPr>
          <w:sz w:val="24"/>
          <w:szCs w:val="24"/>
          <w:lang w:val="en-US"/>
        </w:rPr>
      </w:pPr>
    </w:p>
    <w:tbl>
      <w:tblPr>
        <w:tblStyle w:val="Grilledutableau"/>
        <w:tblW w:w="0" w:type="auto"/>
        <w:jc w:val="center"/>
        <w:tblInd w:w="472" w:type="dxa"/>
        <w:tblLook w:val="04A0"/>
      </w:tblPr>
      <w:tblGrid>
        <w:gridCol w:w="1666"/>
        <w:gridCol w:w="1516"/>
        <w:gridCol w:w="1417"/>
        <w:gridCol w:w="1276"/>
        <w:gridCol w:w="1134"/>
        <w:gridCol w:w="1134"/>
      </w:tblGrid>
      <w:tr w:rsidR="00780D93" w:rsidRPr="001E4039" w:rsidTr="00780D93">
        <w:trPr>
          <w:jc w:val="center"/>
        </w:trPr>
        <w:tc>
          <w:tcPr>
            <w:tcW w:w="1666" w:type="dxa"/>
            <w:tcBorders>
              <w:top w:val="nil"/>
              <w:left w:val="nil"/>
              <w:bottom w:val="nil"/>
              <w:right w:val="nil"/>
            </w:tcBorders>
          </w:tcPr>
          <w:p w:rsidR="00780D93" w:rsidRPr="00780D93" w:rsidRDefault="00780D93" w:rsidP="006B6DC5">
            <w:pPr>
              <w:spacing w:line="480" w:lineRule="auto"/>
              <w:jc w:val="center"/>
              <w:rPr>
                <w:rFonts w:cs="Times New Roman"/>
                <w:b/>
                <w:sz w:val="24"/>
                <w:szCs w:val="24"/>
              </w:rPr>
            </w:pPr>
            <w:r w:rsidRPr="00780D93">
              <w:rPr>
                <w:rFonts w:cs="Times New Roman"/>
                <w:b/>
                <w:sz w:val="24"/>
                <w:szCs w:val="24"/>
              </w:rPr>
              <w:t>(b)</w:t>
            </w:r>
          </w:p>
        </w:tc>
        <w:tc>
          <w:tcPr>
            <w:tcW w:w="1516" w:type="dxa"/>
            <w:tcBorders>
              <w:left w:val="nil"/>
              <w:bottom w:val="single" w:sz="4" w:space="0" w:color="auto"/>
              <w:right w:val="nil"/>
            </w:tcBorders>
            <w:vAlign w:val="center"/>
          </w:tcPr>
          <w:p w:rsidR="00780D93" w:rsidRPr="00B75B78" w:rsidRDefault="00780D93" w:rsidP="006B6DC5">
            <w:pPr>
              <w:spacing w:line="480" w:lineRule="auto"/>
              <w:jc w:val="center"/>
              <w:rPr>
                <w:sz w:val="24"/>
                <w:szCs w:val="24"/>
                <w:lang w:val="en-US"/>
              </w:rPr>
            </w:pPr>
            <w:r w:rsidRPr="00913129">
              <w:rPr>
                <w:rFonts w:ascii="Symbol" w:hAnsi="Symbol"/>
                <w:i/>
                <w:sz w:val="24"/>
                <w:szCs w:val="24"/>
              </w:rPr>
              <w:t></w:t>
            </w:r>
            <w:r w:rsidRPr="00913129">
              <w:rPr>
                <w:sz w:val="24"/>
                <w:szCs w:val="24"/>
                <w:vertAlign w:val="subscript"/>
                <w:lang w:val="en-US"/>
              </w:rPr>
              <w:t>m</w:t>
            </w:r>
            <w:r w:rsidRPr="00B75B78">
              <w:rPr>
                <w:sz w:val="24"/>
                <w:szCs w:val="24"/>
                <w:lang w:val="en-US"/>
              </w:rPr>
              <w:t xml:space="preserve"> (</w:t>
            </w:r>
            <w:r>
              <w:rPr>
                <w:sz w:val="24"/>
                <w:szCs w:val="24"/>
                <w:lang w:val="en-US"/>
              </w:rPr>
              <w:t>%</w:t>
            </w:r>
            <w:r w:rsidRPr="00B75B78">
              <w:rPr>
                <w:sz w:val="24"/>
                <w:szCs w:val="24"/>
                <w:lang w:val="en-US"/>
              </w:rPr>
              <w:t>)</w:t>
            </w:r>
          </w:p>
        </w:tc>
        <w:tc>
          <w:tcPr>
            <w:tcW w:w="1417" w:type="dxa"/>
            <w:tcBorders>
              <w:left w:val="nil"/>
              <w:bottom w:val="single" w:sz="4" w:space="0" w:color="auto"/>
              <w:right w:val="nil"/>
            </w:tcBorders>
            <w:vAlign w:val="center"/>
          </w:tcPr>
          <w:p w:rsidR="00780D93" w:rsidRPr="00B75B78" w:rsidRDefault="00780D93" w:rsidP="006B6DC5">
            <w:pPr>
              <w:spacing w:line="480" w:lineRule="auto"/>
              <w:jc w:val="center"/>
              <w:rPr>
                <w:sz w:val="24"/>
                <w:szCs w:val="24"/>
                <w:lang w:val="en-US"/>
              </w:rPr>
            </w:pPr>
            <w:r w:rsidRPr="00913129">
              <w:rPr>
                <w:rFonts w:ascii="Symbol" w:hAnsi="Symbol"/>
                <w:i/>
                <w:sz w:val="24"/>
                <w:szCs w:val="24"/>
              </w:rPr>
              <w:t></w:t>
            </w:r>
            <w:proofErr w:type="spellStart"/>
            <w:r w:rsidRPr="00913129">
              <w:rPr>
                <w:sz w:val="24"/>
                <w:szCs w:val="24"/>
                <w:vertAlign w:val="subscript"/>
                <w:lang w:val="en-US"/>
              </w:rPr>
              <w:t>im</w:t>
            </w:r>
            <w:proofErr w:type="spellEnd"/>
            <w:r w:rsidRPr="00B75B78">
              <w:rPr>
                <w:sz w:val="24"/>
                <w:szCs w:val="24"/>
                <w:lang w:val="en-US"/>
              </w:rPr>
              <w:t xml:space="preserve"> (</w:t>
            </w:r>
            <w:r>
              <w:rPr>
                <w:sz w:val="24"/>
                <w:szCs w:val="24"/>
                <w:lang w:val="en-US"/>
              </w:rPr>
              <w:t>%</w:t>
            </w:r>
            <w:r w:rsidRPr="00B75B78">
              <w:rPr>
                <w:sz w:val="24"/>
                <w:szCs w:val="24"/>
                <w:lang w:val="en-US"/>
              </w:rPr>
              <w:t>)</w:t>
            </w:r>
          </w:p>
        </w:tc>
        <w:tc>
          <w:tcPr>
            <w:tcW w:w="1276" w:type="dxa"/>
            <w:tcBorders>
              <w:left w:val="nil"/>
              <w:bottom w:val="single" w:sz="4" w:space="0" w:color="auto"/>
              <w:right w:val="nil"/>
            </w:tcBorders>
            <w:vAlign w:val="center"/>
          </w:tcPr>
          <w:p w:rsidR="00780D93" w:rsidRPr="00B75B78" w:rsidRDefault="00780D93" w:rsidP="006B6DC5">
            <w:pPr>
              <w:spacing w:line="480" w:lineRule="auto"/>
              <w:jc w:val="center"/>
              <w:rPr>
                <w:sz w:val="24"/>
                <w:szCs w:val="24"/>
                <w:lang w:val="en-US"/>
              </w:rPr>
            </w:pPr>
            <w:r>
              <w:rPr>
                <w:rFonts w:ascii="Symbol" w:hAnsi="Symbol"/>
                <w:i/>
                <w:sz w:val="24"/>
                <w:szCs w:val="24"/>
                <w:lang w:val="en-US"/>
              </w:rPr>
              <w:t></w:t>
            </w:r>
            <w:r>
              <w:rPr>
                <w:sz w:val="24"/>
                <w:szCs w:val="24"/>
                <w:lang w:val="en-US"/>
              </w:rPr>
              <w:t xml:space="preserve"> (min</w:t>
            </w:r>
            <w:r w:rsidRPr="00B75B78">
              <w:rPr>
                <w:iCs/>
                <w:sz w:val="24"/>
                <w:szCs w:val="24"/>
                <w:vertAlign w:val="superscript"/>
                <w:lang w:val="it-IT"/>
              </w:rPr>
              <w:t>–</w:t>
            </w:r>
            <w:r w:rsidRPr="00B75B78">
              <w:rPr>
                <w:sz w:val="24"/>
                <w:szCs w:val="24"/>
                <w:vertAlign w:val="superscript"/>
                <w:lang w:val="en-US"/>
              </w:rPr>
              <w:t>1</w:t>
            </w:r>
            <w:r>
              <w:rPr>
                <w:sz w:val="24"/>
                <w:szCs w:val="24"/>
                <w:lang w:val="en-US"/>
              </w:rPr>
              <w:t>)</w:t>
            </w:r>
          </w:p>
        </w:tc>
        <w:tc>
          <w:tcPr>
            <w:tcW w:w="1134" w:type="dxa"/>
            <w:tcBorders>
              <w:left w:val="nil"/>
              <w:bottom w:val="single" w:sz="4" w:space="0" w:color="auto"/>
              <w:right w:val="nil"/>
            </w:tcBorders>
            <w:vAlign w:val="center"/>
          </w:tcPr>
          <w:p w:rsidR="00780D93" w:rsidRPr="00B75B78" w:rsidRDefault="00780D93" w:rsidP="00DE54F5">
            <w:pPr>
              <w:spacing w:line="480" w:lineRule="auto"/>
              <w:jc w:val="center"/>
              <w:rPr>
                <w:sz w:val="24"/>
                <w:szCs w:val="24"/>
                <w:lang w:val="en-US"/>
              </w:rPr>
            </w:pPr>
            <w:r w:rsidRPr="00FC11C3">
              <w:rPr>
                <w:rFonts w:ascii="Symbol" w:hAnsi="Symbol"/>
                <w:i/>
                <w:sz w:val="24"/>
                <w:szCs w:val="24"/>
                <w:lang w:val="en-US"/>
              </w:rPr>
              <w:t></w:t>
            </w:r>
            <w:r>
              <w:rPr>
                <w:sz w:val="24"/>
                <w:szCs w:val="24"/>
                <w:lang w:val="en-US"/>
              </w:rPr>
              <w:t xml:space="preserve"> (cm)</w:t>
            </w:r>
          </w:p>
        </w:tc>
        <w:tc>
          <w:tcPr>
            <w:tcW w:w="1134" w:type="dxa"/>
            <w:tcBorders>
              <w:top w:val="nil"/>
              <w:left w:val="nil"/>
              <w:bottom w:val="nil"/>
              <w:right w:val="nil"/>
            </w:tcBorders>
          </w:tcPr>
          <w:p w:rsidR="00780D93" w:rsidRPr="00FC11C3" w:rsidRDefault="00780D93" w:rsidP="00DE54F5">
            <w:pPr>
              <w:spacing w:line="480" w:lineRule="auto"/>
              <w:jc w:val="center"/>
              <w:rPr>
                <w:rFonts w:ascii="Symbol" w:hAnsi="Symbol"/>
                <w:i/>
                <w:sz w:val="24"/>
                <w:szCs w:val="24"/>
                <w:lang w:val="en-US"/>
              </w:rPr>
            </w:pPr>
          </w:p>
        </w:tc>
      </w:tr>
      <w:tr w:rsidR="00780D93" w:rsidRPr="001E4039" w:rsidTr="00780D93">
        <w:trPr>
          <w:jc w:val="center"/>
        </w:trPr>
        <w:tc>
          <w:tcPr>
            <w:tcW w:w="1666" w:type="dxa"/>
            <w:tcBorders>
              <w:top w:val="nil"/>
              <w:left w:val="nil"/>
              <w:bottom w:val="nil"/>
              <w:right w:val="nil"/>
            </w:tcBorders>
          </w:tcPr>
          <w:p w:rsidR="00780D93" w:rsidRDefault="00780D93" w:rsidP="00DE54F5">
            <w:pPr>
              <w:spacing w:line="480" w:lineRule="auto"/>
              <w:jc w:val="center"/>
              <w:rPr>
                <w:sz w:val="24"/>
                <w:szCs w:val="24"/>
                <w:lang w:val="en-US"/>
              </w:rPr>
            </w:pPr>
          </w:p>
        </w:tc>
        <w:tc>
          <w:tcPr>
            <w:tcW w:w="1516" w:type="dxa"/>
            <w:tcBorders>
              <w:left w:val="nil"/>
              <w:bottom w:val="single" w:sz="4" w:space="0" w:color="auto"/>
              <w:right w:val="nil"/>
            </w:tcBorders>
            <w:vAlign w:val="center"/>
          </w:tcPr>
          <w:p w:rsidR="00780D93" w:rsidRDefault="00780D93" w:rsidP="00DE54F5">
            <w:pPr>
              <w:spacing w:line="480" w:lineRule="auto"/>
              <w:jc w:val="center"/>
              <w:rPr>
                <w:sz w:val="24"/>
                <w:szCs w:val="24"/>
                <w:lang w:val="en-US"/>
              </w:rPr>
            </w:pPr>
            <w:r>
              <w:rPr>
                <w:sz w:val="24"/>
                <w:szCs w:val="24"/>
                <w:lang w:val="en-US"/>
              </w:rPr>
              <w:t>8</w:t>
            </w:r>
            <w:r w:rsidR="00CD3721">
              <w:rPr>
                <w:sz w:val="24"/>
                <w:szCs w:val="24"/>
                <w:lang w:val="en-US"/>
              </w:rPr>
              <w:t>5</w:t>
            </w:r>
          </w:p>
        </w:tc>
        <w:tc>
          <w:tcPr>
            <w:tcW w:w="1417" w:type="dxa"/>
            <w:tcBorders>
              <w:left w:val="nil"/>
              <w:bottom w:val="single" w:sz="4" w:space="0" w:color="auto"/>
              <w:right w:val="nil"/>
            </w:tcBorders>
            <w:vAlign w:val="center"/>
          </w:tcPr>
          <w:p w:rsidR="00780D93" w:rsidRDefault="00780D93" w:rsidP="00DE54F5">
            <w:pPr>
              <w:spacing w:line="480" w:lineRule="auto"/>
              <w:jc w:val="center"/>
              <w:rPr>
                <w:sz w:val="24"/>
                <w:szCs w:val="24"/>
                <w:lang w:val="en-US"/>
              </w:rPr>
            </w:pPr>
            <w:r>
              <w:rPr>
                <w:sz w:val="24"/>
                <w:szCs w:val="24"/>
                <w:lang w:val="en-US"/>
              </w:rPr>
              <w:t>1</w:t>
            </w:r>
            <w:r w:rsidR="00CD3721">
              <w:rPr>
                <w:sz w:val="24"/>
                <w:szCs w:val="24"/>
                <w:lang w:val="en-US"/>
              </w:rPr>
              <w:t>5</w:t>
            </w:r>
          </w:p>
        </w:tc>
        <w:tc>
          <w:tcPr>
            <w:tcW w:w="1276" w:type="dxa"/>
            <w:tcBorders>
              <w:left w:val="nil"/>
              <w:bottom w:val="single" w:sz="4" w:space="0" w:color="auto"/>
              <w:right w:val="nil"/>
            </w:tcBorders>
            <w:vAlign w:val="center"/>
          </w:tcPr>
          <w:p w:rsidR="00780D93" w:rsidRDefault="00780D93" w:rsidP="005F772E">
            <w:pPr>
              <w:spacing w:line="480" w:lineRule="auto"/>
              <w:jc w:val="center"/>
              <w:rPr>
                <w:sz w:val="24"/>
                <w:szCs w:val="24"/>
                <w:lang w:val="en-US"/>
              </w:rPr>
            </w:pPr>
            <w:r>
              <w:rPr>
                <w:sz w:val="24"/>
                <w:szCs w:val="24"/>
                <w:lang w:val="en-US"/>
              </w:rPr>
              <w:t>2.</w:t>
            </w:r>
            <w:r w:rsidR="00B8128F">
              <w:rPr>
                <w:sz w:val="24"/>
                <w:szCs w:val="24"/>
                <w:lang w:val="en-US"/>
              </w:rPr>
              <w:t>70</w:t>
            </w:r>
            <w:r w:rsidR="005F772E">
              <w:rPr>
                <w:sz w:val="24"/>
                <w:szCs w:val="24"/>
                <w:lang w:val="en-US"/>
              </w:rPr>
              <w:t xml:space="preserve"> 10</w:t>
            </w:r>
            <w:r w:rsidR="003211E8" w:rsidRPr="003211E8">
              <w:rPr>
                <w:sz w:val="24"/>
                <w:szCs w:val="24"/>
                <w:vertAlign w:val="superscript"/>
                <w:lang w:val="en-US"/>
              </w:rPr>
              <w:t>-5</w:t>
            </w:r>
          </w:p>
        </w:tc>
        <w:tc>
          <w:tcPr>
            <w:tcW w:w="1134" w:type="dxa"/>
            <w:tcBorders>
              <w:left w:val="nil"/>
              <w:bottom w:val="single" w:sz="4" w:space="0" w:color="auto"/>
              <w:right w:val="nil"/>
            </w:tcBorders>
            <w:vAlign w:val="center"/>
          </w:tcPr>
          <w:p w:rsidR="00780D93" w:rsidRDefault="00780D93" w:rsidP="00DE54F5">
            <w:pPr>
              <w:spacing w:line="480" w:lineRule="auto"/>
              <w:jc w:val="center"/>
              <w:rPr>
                <w:sz w:val="24"/>
                <w:szCs w:val="24"/>
                <w:lang w:val="en-US"/>
              </w:rPr>
            </w:pPr>
            <w:r>
              <w:rPr>
                <w:sz w:val="24"/>
                <w:szCs w:val="24"/>
                <w:lang w:val="en-US"/>
              </w:rPr>
              <w:t>0.0</w:t>
            </w:r>
            <w:r w:rsidR="005F772E">
              <w:rPr>
                <w:sz w:val="24"/>
                <w:szCs w:val="24"/>
                <w:lang w:val="en-US"/>
              </w:rPr>
              <w:t>3</w:t>
            </w:r>
          </w:p>
        </w:tc>
        <w:tc>
          <w:tcPr>
            <w:tcW w:w="1134" w:type="dxa"/>
            <w:tcBorders>
              <w:top w:val="nil"/>
              <w:left w:val="nil"/>
              <w:bottom w:val="nil"/>
              <w:right w:val="nil"/>
            </w:tcBorders>
          </w:tcPr>
          <w:p w:rsidR="00780D93" w:rsidRDefault="00780D93" w:rsidP="00DE54F5">
            <w:pPr>
              <w:spacing w:line="480" w:lineRule="auto"/>
              <w:jc w:val="center"/>
              <w:rPr>
                <w:sz w:val="24"/>
                <w:szCs w:val="24"/>
                <w:lang w:val="en-US"/>
              </w:rPr>
            </w:pPr>
          </w:p>
        </w:tc>
      </w:tr>
    </w:tbl>
    <w:p w:rsidR="00A745E5" w:rsidRDefault="00A745E5" w:rsidP="00A745E5">
      <w:pPr>
        <w:spacing w:after="0" w:line="480" w:lineRule="auto"/>
        <w:jc w:val="both"/>
        <w:rPr>
          <w:sz w:val="24"/>
          <w:szCs w:val="24"/>
          <w:lang w:val="en-US"/>
        </w:rPr>
      </w:pPr>
    </w:p>
    <w:p w:rsidR="00A745E5" w:rsidRDefault="00A745E5" w:rsidP="00A745E5">
      <w:pPr>
        <w:spacing w:after="0" w:line="480" w:lineRule="auto"/>
        <w:jc w:val="both"/>
        <w:rPr>
          <w:sz w:val="24"/>
          <w:szCs w:val="24"/>
          <w:lang w:val="en-US"/>
        </w:rPr>
      </w:pPr>
    </w:p>
    <w:p w:rsidR="00291978" w:rsidRDefault="00291978" w:rsidP="00A745E5">
      <w:pPr>
        <w:spacing w:after="0" w:line="480" w:lineRule="auto"/>
        <w:jc w:val="both"/>
        <w:rPr>
          <w:sz w:val="24"/>
          <w:szCs w:val="24"/>
          <w:lang w:val="en-US"/>
        </w:rPr>
        <w:sectPr w:rsidR="00291978" w:rsidSect="00896A59">
          <w:pgSz w:w="11906" w:h="16838"/>
          <w:pgMar w:top="1417" w:right="1417" w:bottom="1417" w:left="1417" w:header="708" w:footer="708" w:gutter="0"/>
          <w:cols w:space="708"/>
          <w:docGrid w:linePitch="360"/>
        </w:sectPr>
      </w:pPr>
    </w:p>
    <w:p w:rsidR="00291978" w:rsidRDefault="00291978" w:rsidP="00A745E5">
      <w:pPr>
        <w:spacing w:after="0" w:line="480" w:lineRule="auto"/>
        <w:jc w:val="both"/>
        <w:rPr>
          <w:sz w:val="24"/>
          <w:szCs w:val="24"/>
          <w:lang w:val="en-US"/>
        </w:rPr>
      </w:pPr>
    </w:p>
    <w:p w:rsidR="00291978" w:rsidRDefault="00402414" w:rsidP="00402414">
      <w:pPr>
        <w:spacing w:after="0" w:line="480" w:lineRule="auto"/>
        <w:jc w:val="center"/>
        <w:rPr>
          <w:sz w:val="24"/>
          <w:szCs w:val="24"/>
          <w:lang w:val="en-US"/>
        </w:rPr>
      </w:pPr>
      <w:r w:rsidRPr="00402414">
        <w:rPr>
          <w:noProof/>
          <w:szCs w:val="24"/>
          <w:lang w:eastAsia="fr-FR"/>
        </w:rPr>
        <w:drawing>
          <wp:inline distT="0" distB="0" distL="0" distR="0">
            <wp:extent cx="4867275" cy="3657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5455" t="8235" r="10083" b="1412"/>
                    <a:stretch>
                      <a:fillRect/>
                    </a:stretch>
                  </pic:blipFill>
                  <pic:spPr bwMode="auto">
                    <a:xfrm>
                      <a:off x="0" y="0"/>
                      <a:ext cx="4867275" cy="3657600"/>
                    </a:xfrm>
                    <a:prstGeom prst="rect">
                      <a:avLst/>
                    </a:prstGeom>
                    <a:noFill/>
                    <a:ln w="9525">
                      <a:noFill/>
                      <a:miter lim="800000"/>
                      <a:headEnd/>
                      <a:tailEnd/>
                    </a:ln>
                  </pic:spPr>
                </pic:pic>
              </a:graphicData>
            </a:graphic>
          </wp:inline>
        </w:drawing>
      </w:r>
    </w:p>
    <w:p w:rsidR="00291978" w:rsidRDefault="00402414" w:rsidP="00402414">
      <w:pPr>
        <w:spacing w:after="0"/>
        <w:jc w:val="both"/>
        <w:rPr>
          <w:sz w:val="24"/>
          <w:szCs w:val="24"/>
          <w:lang w:val="en-US"/>
        </w:rPr>
      </w:pPr>
      <w:r>
        <w:rPr>
          <w:b/>
          <w:sz w:val="24"/>
          <w:szCs w:val="24"/>
          <w:lang w:val="en-US"/>
        </w:rPr>
        <w:t>Figure S3</w:t>
      </w:r>
      <w:r w:rsidRPr="006928DC">
        <w:rPr>
          <w:b/>
          <w:sz w:val="24"/>
          <w:szCs w:val="24"/>
          <w:lang w:val="en-US"/>
        </w:rPr>
        <w:t>.</w:t>
      </w:r>
      <w:r>
        <w:rPr>
          <w:sz w:val="24"/>
          <w:szCs w:val="24"/>
          <w:lang w:val="en-US"/>
        </w:rPr>
        <w:t xml:space="preserve"> Bromide tracer and phosphate </w:t>
      </w:r>
      <w:r w:rsidR="00C05757">
        <w:rPr>
          <w:sz w:val="24"/>
          <w:szCs w:val="24"/>
          <w:lang w:val="en-US"/>
        </w:rPr>
        <w:t xml:space="preserve">ions </w:t>
      </w:r>
      <w:r>
        <w:rPr>
          <w:sz w:val="24"/>
          <w:szCs w:val="24"/>
          <w:lang w:val="en-US"/>
        </w:rPr>
        <w:t>breakthrough curves for the filter material-packed columns at 0.5 ml min</w:t>
      </w:r>
      <w:r w:rsidRPr="00CF4EE1">
        <w:rPr>
          <w:iCs/>
          <w:vertAlign w:val="superscript"/>
          <w:lang w:val="it-IT"/>
        </w:rPr>
        <w:t>–</w:t>
      </w:r>
      <w:r w:rsidRPr="005860D4">
        <w:rPr>
          <w:sz w:val="24"/>
          <w:szCs w:val="24"/>
          <w:vertAlign w:val="superscript"/>
          <w:lang w:val="en-US"/>
        </w:rPr>
        <w:t>1</w:t>
      </w:r>
      <w:r>
        <w:rPr>
          <w:sz w:val="24"/>
          <w:szCs w:val="24"/>
          <w:lang w:val="en-US"/>
        </w:rPr>
        <w:t xml:space="preserve"> flow rate. For comparison,</w:t>
      </w:r>
      <w:r w:rsidRPr="00402414">
        <w:rPr>
          <w:sz w:val="24"/>
          <w:szCs w:val="24"/>
          <w:lang w:val="en-US"/>
        </w:rPr>
        <w:t xml:space="preserve"> </w:t>
      </w:r>
      <w:r w:rsidR="007F4C8C">
        <w:rPr>
          <w:sz w:val="24"/>
          <w:szCs w:val="24"/>
          <w:lang w:val="en-US"/>
        </w:rPr>
        <w:t xml:space="preserve">the </w:t>
      </w:r>
      <w:r w:rsidRPr="00402414">
        <w:rPr>
          <w:sz w:val="24"/>
          <w:szCs w:val="24"/>
          <w:lang w:val="en-US"/>
        </w:rPr>
        <w:t>phosphate</w:t>
      </w:r>
      <w:r w:rsidR="00C05757">
        <w:rPr>
          <w:sz w:val="24"/>
          <w:szCs w:val="24"/>
          <w:lang w:val="en-US"/>
        </w:rPr>
        <w:t xml:space="preserve"> ions</w:t>
      </w:r>
      <w:r>
        <w:rPr>
          <w:sz w:val="24"/>
          <w:szCs w:val="24"/>
          <w:lang w:val="en-US"/>
        </w:rPr>
        <w:t xml:space="preserve"> </w:t>
      </w:r>
      <w:r w:rsidR="007F4C8C">
        <w:rPr>
          <w:sz w:val="24"/>
          <w:szCs w:val="24"/>
          <w:lang w:val="en-US"/>
        </w:rPr>
        <w:t>breakthrough curve</w:t>
      </w:r>
      <w:r>
        <w:rPr>
          <w:sz w:val="24"/>
          <w:szCs w:val="24"/>
          <w:lang w:val="en-US"/>
        </w:rPr>
        <w:t xml:space="preserve"> is</w:t>
      </w:r>
      <w:r w:rsidRPr="00402414">
        <w:rPr>
          <w:sz w:val="24"/>
          <w:szCs w:val="24"/>
          <w:lang w:val="en-US"/>
        </w:rPr>
        <w:t xml:space="preserve"> normalized by its ret</w:t>
      </w:r>
      <w:r w:rsidR="000128AD">
        <w:rPr>
          <w:sz w:val="24"/>
          <w:szCs w:val="24"/>
          <w:lang w:val="en-US"/>
        </w:rPr>
        <w:t>ardation factor to that of the b</w:t>
      </w:r>
      <w:r w:rsidRPr="00402414">
        <w:rPr>
          <w:sz w:val="24"/>
          <w:szCs w:val="24"/>
          <w:lang w:val="en-US"/>
        </w:rPr>
        <w:t>romide tracer</w:t>
      </w:r>
      <w:r>
        <w:rPr>
          <w:sz w:val="24"/>
          <w:szCs w:val="24"/>
          <w:lang w:val="en-US"/>
        </w:rPr>
        <w:t>.</w:t>
      </w:r>
    </w:p>
    <w:p w:rsidR="00291978" w:rsidRDefault="00291978" w:rsidP="00A745E5">
      <w:pPr>
        <w:spacing w:after="0" w:line="480" w:lineRule="auto"/>
        <w:jc w:val="both"/>
        <w:rPr>
          <w:sz w:val="24"/>
          <w:szCs w:val="24"/>
          <w:lang w:val="en-US"/>
        </w:rPr>
      </w:pPr>
    </w:p>
    <w:p w:rsidR="00291978" w:rsidRDefault="00291978" w:rsidP="00A745E5">
      <w:pPr>
        <w:spacing w:after="0" w:line="480" w:lineRule="auto"/>
        <w:jc w:val="both"/>
        <w:rPr>
          <w:sz w:val="24"/>
          <w:szCs w:val="24"/>
          <w:lang w:val="en-US"/>
        </w:rPr>
      </w:pPr>
    </w:p>
    <w:p w:rsidR="00291978" w:rsidRDefault="00291978" w:rsidP="00A745E5">
      <w:pPr>
        <w:spacing w:after="0" w:line="480" w:lineRule="auto"/>
        <w:jc w:val="both"/>
        <w:rPr>
          <w:sz w:val="24"/>
          <w:szCs w:val="24"/>
          <w:lang w:val="en-US"/>
        </w:rPr>
      </w:pPr>
    </w:p>
    <w:p w:rsidR="00291978" w:rsidRDefault="00291978" w:rsidP="00A745E5">
      <w:pPr>
        <w:spacing w:after="0" w:line="480" w:lineRule="auto"/>
        <w:jc w:val="both"/>
        <w:rPr>
          <w:sz w:val="24"/>
          <w:szCs w:val="24"/>
          <w:lang w:val="en-US"/>
        </w:rPr>
      </w:pPr>
    </w:p>
    <w:p w:rsidR="002C750B" w:rsidRPr="001D27C7" w:rsidRDefault="002C750B" w:rsidP="00731C0B">
      <w:pPr>
        <w:spacing w:after="0" w:line="240" w:lineRule="auto"/>
        <w:rPr>
          <w:sz w:val="24"/>
          <w:szCs w:val="24"/>
          <w:lang w:val="en-US"/>
        </w:rPr>
        <w:sectPr w:rsidR="002C750B" w:rsidRPr="001D27C7" w:rsidSect="00896A59">
          <w:pgSz w:w="11906" w:h="16838"/>
          <w:pgMar w:top="1417" w:right="1417" w:bottom="1417" w:left="1417" w:header="708" w:footer="708" w:gutter="0"/>
          <w:cols w:space="708"/>
          <w:docGrid w:linePitch="360"/>
        </w:sectPr>
      </w:pPr>
    </w:p>
    <w:p w:rsidR="00896A59" w:rsidRPr="001D27C7" w:rsidRDefault="00896A59" w:rsidP="00731C0B">
      <w:pPr>
        <w:spacing w:after="0" w:line="240" w:lineRule="auto"/>
        <w:rPr>
          <w:sz w:val="24"/>
          <w:szCs w:val="24"/>
          <w:lang w:val="en-US"/>
        </w:rPr>
      </w:pPr>
    </w:p>
    <w:p w:rsidR="002C750B" w:rsidRPr="00C05757" w:rsidRDefault="00075018" w:rsidP="001B6DCD">
      <w:pPr>
        <w:spacing w:after="0" w:line="480" w:lineRule="auto"/>
        <w:jc w:val="center"/>
        <w:rPr>
          <w:sz w:val="24"/>
          <w:szCs w:val="24"/>
          <w:lang w:val="en-US"/>
        </w:rPr>
      </w:pPr>
      <w:r>
        <w:rPr>
          <w:noProof/>
          <w:sz w:val="24"/>
          <w:szCs w:val="24"/>
          <w:lang w:eastAsia="fr-FR"/>
        </w:rPr>
        <w:drawing>
          <wp:inline distT="0" distB="0" distL="0" distR="0">
            <wp:extent cx="5762625" cy="2724150"/>
            <wp:effectExtent l="19050" t="0" r="9525" b="0"/>
            <wp:docPr id="1" name="Image 0" descr="Figure S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emf"/>
                    <pic:cNvPicPr/>
                  </pic:nvPicPr>
                  <pic:blipFill>
                    <a:blip r:embed="rId20" cstate="print"/>
                    <a:srcRect t="17621" b="19383"/>
                    <a:stretch>
                      <a:fillRect/>
                    </a:stretch>
                  </pic:blipFill>
                  <pic:spPr>
                    <a:xfrm>
                      <a:off x="0" y="0"/>
                      <a:ext cx="5762625" cy="2724150"/>
                    </a:xfrm>
                    <a:prstGeom prst="rect">
                      <a:avLst/>
                    </a:prstGeom>
                  </pic:spPr>
                </pic:pic>
              </a:graphicData>
            </a:graphic>
          </wp:inline>
        </w:drawing>
      </w:r>
    </w:p>
    <w:p w:rsidR="00913129" w:rsidRDefault="00291978" w:rsidP="00D25DC6">
      <w:pPr>
        <w:spacing w:after="0"/>
        <w:jc w:val="both"/>
        <w:rPr>
          <w:b/>
          <w:sz w:val="24"/>
          <w:szCs w:val="24"/>
          <w:lang w:val="en-US"/>
        </w:rPr>
      </w:pPr>
      <w:r>
        <w:rPr>
          <w:b/>
          <w:sz w:val="24"/>
          <w:szCs w:val="24"/>
          <w:lang w:val="en-US"/>
        </w:rPr>
        <w:t>Figure S4</w:t>
      </w:r>
      <w:r w:rsidR="001B6DCD" w:rsidRPr="00E152FF">
        <w:rPr>
          <w:b/>
          <w:sz w:val="24"/>
          <w:szCs w:val="24"/>
          <w:lang w:val="en-US"/>
        </w:rPr>
        <w:t>.</w:t>
      </w:r>
      <w:r w:rsidR="001B6DCD" w:rsidRPr="00D25DC6">
        <w:rPr>
          <w:sz w:val="24"/>
          <w:szCs w:val="24"/>
          <w:lang w:val="en-US"/>
        </w:rPr>
        <w:t xml:space="preserve"> </w:t>
      </w:r>
      <w:r w:rsidR="00D25DC6" w:rsidRPr="00FB50BB">
        <w:rPr>
          <w:sz w:val="24"/>
          <w:szCs w:val="24"/>
          <w:lang w:val="en-US"/>
        </w:rPr>
        <w:t xml:space="preserve">Integration schemes for the calculation of phosphate sorption capacities: (a) calculated from the </w:t>
      </w:r>
      <w:r w:rsidR="007B19BA" w:rsidRPr="00231649">
        <w:rPr>
          <w:bCs/>
          <w:sz w:val="24"/>
          <w:szCs w:val="24"/>
          <w:lang w:val="en-US"/>
        </w:rPr>
        <w:t>Council Directive 91/271/EEC</w:t>
      </w:r>
      <w:r w:rsidR="00D25DC6" w:rsidRPr="00FB50BB">
        <w:rPr>
          <w:sz w:val="24"/>
          <w:szCs w:val="24"/>
          <w:lang w:val="en-US"/>
        </w:rPr>
        <w:t xml:space="preserve"> and (b) calculated on the entire </w:t>
      </w:r>
      <w:r w:rsidR="007F4C8C">
        <w:rPr>
          <w:sz w:val="24"/>
          <w:szCs w:val="24"/>
          <w:lang w:val="en-US"/>
        </w:rPr>
        <w:t>breakthrough curve</w:t>
      </w:r>
      <w:r w:rsidR="00D25DC6" w:rsidRPr="00FB50BB">
        <w:rPr>
          <w:sz w:val="24"/>
          <w:szCs w:val="24"/>
          <w:lang w:val="en-US"/>
        </w:rPr>
        <w:t>.</w:t>
      </w:r>
    </w:p>
    <w:p w:rsidR="00913129" w:rsidRDefault="00913129" w:rsidP="001B6DCD">
      <w:pPr>
        <w:spacing w:after="0" w:line="480" w:lineRule="auto"/>
        <w:rPr>
          <w:b/>
          <w:sz w:val="24"/>
          <w:szCs w:val="24"/>
          <w:lang w:val="en-US"/>
        </w:rPr>
      </w:pPr>
    </w:p>
    <w:p w:rsidR="00126C14" w:rsidRDefault="00126C14" w:rsidP="001B6DCD">
      <w:pPr>
        <w:spacing w:after="0" w:line="480" w:lineRule="auto"/>
        <w:rPr>
          <w:b/>
          <w:sz w:val="24"/>
          <w:szCs w:val="24"/>
          <w:lang w:val="en-US"/>
        </w:rPr>
      </w:pPr>
    </w:p>
    <w:p w:rsidR="00126C14" w:rsidRDefault="00126C14" w:rsidP="001B6DCD">
      <w:pPr>
        <w:spacing w:after="0" w:line="480" w:lineRule="auto"/>
        <w:rPr>
          <w:b/>
          <w:sz w:val="24"/>
          <w:szCs w:val="24"/>
          <w:lang w:val="en-US"/>
        </w:rPr>
      </w:pPr>
    </w:p>
    <w:p w:rsidR="00126C14" w:rsidRDefault="00126C14" w:rsidP="001B6DCD">
      <w:pPr>
        <w:spacing w:after="0" w:line="480" w:lineRule="auto"/>
        <w:rPr>
          <w:b/>
          <w:sz w:val="24"/>
          <w:szCs w:val="24"/>
          <w:lang w:val="en-US"/>
        </w:rPr>
      </w:pPr>
      <w:r>
        <w:rPr>
          <w:b/>
          <w:sz w:val="24"/>
          <w:szCs w:val="24"/>
          <w:lang w:val="en-US"/>
        </w:rPr>
        <w:t>References</w:t>
      </w:r>
    </w:p>
    <w:p w:rsidR="00DF47D3" w:rsidRPr="009328FD" w:rsidRDefault="006A73F0" w:rsidP="009328FD">
      <w:pPr>
        <w:spacing w:after="0"/>
        <w:jc w:val="both"/>
        <w:rPr>
          <w:rFonts w:cs="Times New Roman"/>
          <w:noProof/>
          <w:sz w:val="24"/>
          <w:szCs w:val="24"/>
          <w:lang w:val="en-US"/>
        </w:rPr>
      </w:pPr>
      <w:r>
        <w:rPr>
          <w:sz w:val="24"/>
          <w:szCs w:val="24"/>
          <w:lang w:val="en-US"/>
        </w:rPr>
        <w:fldChar w:fldCharType="begin"/>
      </w:r>
      <w:r w:rsidR="00913129">
        <w:rPr>
          <w:sz w:val="24"/>
          <w:szCs w:val="24"/>
          <w:lang w:val="en-US"/>
        </w:rPr>
        <w:instrText xml:space="preserve"> ADDIN EN.REFLIST </w:instrText>
      </w:r>
      <w:r>
        <w:rPr>
          <w:sz w:val="24"/>
          <w:szCs w:val="24"/>
          <w:lang w:val="en-US"/>
        </w:rPr>
        <w:fldChar w:fldCharType="separate"/>
      </w:r>
      <w:r w:rsidR="00DF47D3" w:rsidRPr="009328FD">
        <w:rPr>
          <w:rFonts w:cs="Times New Roman"/>
          <w:noProof/>
          <w:sz w:val="24"/>
          <w:szCs w:val="24"/>
          <w:lang w:val="en-US"/>
        </w:rPr>
        <w:t>[1] M. Sardin, D. Schweich, F.J. Leij, M.T. van Genuchten, Modeling the nonequilibrium transport of linearly interacting solutes in porous media: A review, Water Resour. Res. 27 (1991) 2287-2307.</w:t>
      </w:r>
    </w:p>
    <w:p w:rsidR="00DF47D3" w:rsidRDefault="00DF47D3" w:rsidP="00DF47D3">
      <w:pPr>
        <w:spacing w:after="0" w:line="240" w:lineRule="auto"/>
        <w:ind w:left="720" w:hanging="720"/>
        <w:rPr>
          <w:rFonts w:cs="Times New Roman"/>
          <w:noProof/>
          <w:szCs w:val="24"/>
          <w:lang w:val="en-US"/>
        </w:rPr>
      </w:pPr>
    </w:p>
    <w:p w:rsidR="002C750B" w:rsidRPr="001B6DCD" w:rsidRDefault="006A73F0" w:rsidP="001B6DCD">
      <w:pPr>
        <w:spacing w:after="0" w:line="480" w:lineRule="auto"/>
        <w:rPr>
          <w:sz w:val="24"/>
          <w:szCs w:val="24"/>
          <w:lang w:val="en-US"/>
        </w:rPr>
      </w:pPr>
      <w:r>
        <w:rPr>
          <w:sz w:val="24"/>
          <w:szCs w:val="24"/>
          <w:lang w:val="en-US"/>
        </w:rPr>
        <w:fldChar w:fldCharType="end"/>
      </w:r>
    </w:p>
    <w:sectPr w:rsidR="002C750B" w:rsidRPr="001B6DCD" w:rsidSect="00896A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EN.Layout" w:val="&lt;ENLayout&gt;&lt;Style&gt;Chem Engineer 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ubli brevet.enl&lt;/item&gt;&lt;/Libraries&gt;&lt;/ENLibraries&gt;"/>
  </w:docVars>
  <w:rsids>
    <w:rsidRoot w:val="00A745E5"/>
    <w:rsid w:val="000128AD"/>
    <w:rsid w:val="000310F5"/>
    <w:rsid w:val="00051D25"/>
    <w:rsid w:val="00075018"/>
    <w:rsid w:val="000E76ED"/>
    <w:rsid w:val="00106D8A"/>
    <w:rsid w:val="0011782B"/>
    <w:rsid w:val="00126C14"/>
    <w:rsid w:val="00167D5C"/>
    <w:rsid w:val="00170F10"/>
    <w:rsid w:val="00192480"/>
    <w:rsid w:val="001B6DCD"/>
    <w:rsid w:val="001D27C7"/>
    <w:rsid w:val="001E4039"/>
    <w:rsid w:val="002735C8"/>
    <w:rsid w:val="00291978"/>
    <w:rsid w:val="002C750B"/>
    <w:rsid w:val="002D1426"/>
    <w:rsid w:val="002D4064"/>
    <w:rsid w:val="003211E8"/>
    <w:rsid w:val="00340D67"/>
    <w:rsid w:val="00344814"/>
    <w:rsid w:val="003935F9"/>
    <w:rsid w:val="003D1B1E"/>
    <w:rsid w:val="00402414"/>
    <w:rsid w:val="004663D0"/>
    <w:rsid w:val="00493348"/>
    <w:rsid w:val="004A4B62"/>
    <w:rsid w:val="00507BD7"/>
    <w:rsid w:val="00520F96"/>
    <w:rsid w:val="00525B2B"/>
    <w:rsid w:val="00535BB6"/>
    <w:rsid w:val="005522F1"/>
    <w:rsid w:val="005624A5"/>
    <w:rsid w:val="005C49C2"/>
    <w:rsid w:val="005E1B08"/>
    <w:rsid w:val="005F772E"/>
    <w:rsid w:val="00604006"/>
    <w:rsid w:val="006525AA"/>
    <w:rsid w:val="00653EF3"/>
    <w:rsid w:val="00697FAD"/>
    <w:rsid w:val="006A260B"/>
    <w:rsid w:val="006A73F0"/>
    <w:rsid w:val="006B6DC5"/>
    <w:rsid w:val="007173D1"/>
    <w:rsid w:val="00722E70"/>
    <w:rsid w:val="00731C0B"/>
    <w:rsid w:val="00780D93"/>
    <w:rsid w:val="00793EAC"/>
    <w:rsid w:val="007A2CD7"/>
    <w:rsid w:val="007B19BA"/>
    <w:rsid w:val="007B2426"/>
    <w:rsid w:val="007F4C8C"/>
    <w:rsid w:val="00813378"/>
    <w:rsid w:val="00865ACE"/>
    <w:rsid w:val="00896A59"/>
    <w:rsid w:val="00903729"/>
    <w:rsid w:val="00913129"/>
    <w:rsid w:val="009328FD"/>
    <w:rsid w:val="009B37D8"/>
    <w:rsid w:val="00A00C44"/>
    <w:rsid w:val="00A133A0"/>
    <w:rsid w:val="00A6186C"/>
    <w:rsid w:val="00A63433"/>
    <w:rsid w:val="00A745E5"/>
    <w:rsid w:val="00AB2739"/>
    <w:rsid w:val="00AD465B"/>
    <w:rsid w:val="00B8128F"/>
    <w:rsid w:val="00B877E5"/>
    <w:rsid w:val="00BA2F45"/>
    <w:rsid w:val="00C05757"/>
    <w:rsid w:val="00C332FA"/>
    <w:rsid w:val="00C65DD5"/>
    <w:rsid w:val="00C76A4C"/>
    <w:rsid w:val="00C808F1"/>
    <w:rsid w:val="00C838AC"/>
    <w:rsid w:val="00CD3721"/>
    <w:rsid w:val="00D25DC6"/>
    <w:rsid w:val="00D43D1D"/>
    <w:rsid w:val="00D6439C"/>
    <w:rsid w:val="00D84155"/>
    <w:rsid w:val="00D97E81"/>
    <w:rsid w:val="00DD010B"/>
    <w:rsid w:val="00DF0609"/>
    <w:rsid w:val="00DF47D3"/>
    <w:rsid w:val="00E23E3D"/>
    <w:rsid w:val="00EB2FD5"/>
    <w:rsid w:val="00ED61AE"/>
    <w:rsid w:val="00FB50BB"/>
    <w:rsid w:val="00FD3226"/>
    <w:rsid w:val="00FE46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5E5"/>
    <w:rPr>
      <w:rFonts w:ascii="Tahoma" w:hAnsi="Tahoma" w:cs="Tahoma"/>
      <w:sz w:val="16"/>
      <w:szCs w:val="16"/>
    </w:rPr>
  </w:style>
  <w:style w:type="paragraph" w:styleId="Paragraphedeliste">
    <w:name w:val="List Paragraph"/>
    <w:basedOn w:val="Normal"/>
    <w:uiPriority w:val="34"/>
    <w:qFormat/>
    <w:rsid w:val="004663D0"/>
    <w:pPr>
      <w:ind w:left="720"/>
      <w:contextualSpacing/>
    </w:pPr>
  </w:style>
  <w:style w:type="character" w:styleId="Marquedecommentaire">
    <w:name w:val="annotation reference"/>
    <w:basedOn w:val="Policepardfaut"/>
    <w:uiPriority w:val="99"/>
    <w:semiHidden/>
    <w:unhideWhenUsed/>
    <w:rsid w:val="004663D0"/>
    <w:rPr>
      <w:sz w:val="16"/>
      <w:szCs w:val="16"/>
    </w:rPr>
  </w:style>
  <w:style w:type="paragraph" w:styleId="Commentaire">
    <w:name w:val="annotation text"/>
    <w:basedOn w:val="Normal"/>
    <w:link w:val="CommentaireCar"/>
    <w:uiPriority w:val="99"/>
    <w:semiHidden/>
    <w:unhideWhenUsed/>
    <w:rsid w:val="004663D0"/>
    <w:pPr>
      <w:spacing w:line="240" w:lineRule="auto"/>
    </w:pPr>
    <w:rPr>
      <w:sz w:val="20"/>
      <w:szCs w:val="20"/>
    </w:rPr>
  </w:style>
  <w:style w:type="character" w:customStyle="1" w:styleId="CommentaireCar">
    <w:name w:val="Commentaire Car"/>
    <w:basedOn w:val="Policepardfaut"/>
    <w:link w:val="Commentaire"/>
    <w:uiPriority w:val="99"/>
    <w:semiHidden/>
    <w:rsid w:val="004663D0"/>
    <w:rPr>
      <w:sz w:val="20"/>
      <w:szCs w:val="20"/>
    </w:rPr>
  </w:style>
  <w:style w:type="table" w:styleId="Grilledutableau">
    <w:name w:val="Table Grid"/>
    <w:basedOn w:val="TableauNormal"/>
    <w:uiPriority w:val="59"/>
    <w:rsid w:val="00E23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697FAD"/>
    <w:rPr>
      <w:b/>
      <w:bCs/>
    </w:rPr>
  </w:style>
  <w:style w:type="character" w:customStyle="1" w:styleId="ObjetducommentaireCar">
    <w:name w:val="Objet du commentaire Car"/>
    <w:basedOn w:val="CommentaireCar"/>
    <w:link w:val="Objetducommentaire"/>
    <w:uiPriority w:val="99"/>
    <w:semiHidden/>
    <w:rsid w:val="00697F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5E5"/>
    <w:rPr>
      <w:rFonts w:ascii="Tahoma" w:hAnsi="Tahoma" w:cs="Tahoma"/>
      <w:sz w:val="16"/>
      <w:szCs w:val="16"/>
    </w:rPr>
  </w:style>
  <w:style w:type="paragraph" w:styleId="Paragraphedeliste">
    <w:name w:val="List Paragraph"/>
    <w:basedOn w:val="Normal"/>
    <w:uiPriority w:val="34"/>
    <w:qFormat/>
    <w:rsid w:val="004663D0"/>
    <w:pPr>
      <w:ind w:left="720"/>
      <w:contextualSpacing/>
    </w:pPr>
  </w:style>
  <w:style w:type="character" w:styleId="Marquedecommentaire">
    <w:name w:val="annotation reference"/>
    <w:basedOn w:val="Policepardfaut"/>
    <w:uiPriority w:val="99"/>
    <w:semiHidden/>
    <w:unhideWhenUsed/>
    <w:rsid w:val="004663D0"/>
    <w:rPr>
      <w:sz w:val="16"/>
      <w:szCs w:val="16"/>
    </w:rPr>
  </w:style>
  <w:style w:type="paragraph" w:styleId="Commentaire">
    <w:name w:val="annotation text"/>
    <w:basedOn w:val="Normal"/>
    <w:link w:val="CommentaireCar"/>
    <w:uiPriority w:val="99"/>
    <w:semiHidden/>
    <w:unhideWhenUsed/>
    <w:rsid w:val="004663D0"/>
    <w:pPr>
      <w:spacing w:line="240" w:lineRule="auto"/>
    </w:pPr>
    <w:rPr>
      <w:sz w:val="20"/>
      <w:szCs w:val="20"/>
    </w:rPr>
  </w:style>
  <w:style w:type="character" w:customStyle="1" w:styleId="CommentaireCar">
    <w:name w:val="Commentaire Car"/>
    <w:basedOn w:val="Policepardfaut"/>
    <w:link w:val="Commentaire"/>
    <w:uiPriority w:val="99"/>
    <w:semiHidden/>
    <w:rsid w:val="004663D0"/>
    <w:rPr>
      <w:sz w:val="20"/>
      <w:szCs w:val="20"/>
    </w:rPr>
  </w:style>
  <w:style w:type="table" w:styleId="Grilledutableau">
    <w:name w:val="Table Grid"/>
    <w:basedOn w:val="TableauNormal"/>
    <w:uiPriority w:val="59"/>
    <w:rsid w:val="00E2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697FAD"/>
    <w:rPr>
      <w:b/>
      <w:bCs/>
    </w:rPr>
  </w:style>
  <w:style w:type="character" w:customStyle="1" w:styleId="ObjetducommentaireCar">
    <w:name w:val="Objet du commentaire Car"/>
    <w:basedOn w:val="CommentaireCar"/>
    <w:link w:val="Objetducommentaire"/>
    <w:uiPriority w:val="99"/>
    <w:semiHidden/>
    <w:rsid w:val="00697FA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emf"/><Relationship Id="rId15" Type="http://schemas.openxmlformats.org/officeDocument/2006/relationships/image" Target="media/image7.wmf"/><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58490-3DF7-4019-907F-9E4A5F4B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1388</Words>
  <Characters>7635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Naille S.</dc:creator>
  <cp:lastModifiedBy>Naille S.</cp:lastModifiedBy>
  <cp:revision>7</cp:revision>
  <cp:lastPrinted>2013-09-10T14:59:00Z</cp:lastPrinted>
  <dcterms:created xsi:type="dcterms:W3CDTF">2014-03-26T10:02:00Z</dcterms:created>
  <dcterms:modified xsi:type="dcterms:W3CDTF">2015-02-26T13:40:00Z</dcterms:modified>
</cp:coreProperties>
</file>